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1398" w14:textId="77777777" w:rsidR="003678A8" w:rsidRDefault="00545784" w:rsidP="003678A8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</w:rPr>
      </w:pPr>
      <w:r>
        <w:rPr>
          <w:noProof/>
          <w:color w:val="000000"/>
          <w:lang w:val="es-ES_tradnl"/>
        </w:rPr>
        <w:drawing>
          <wp:inline distT="0" distB="0" distL="0" distR="0" wp14:anchorId="576F406A" wp14:editId="6207166C">
            <wp:extent cx="2426620" cy="179146"/>
            <wp:effectExtent l="0" t="0" r="0" b="0"/>
            <wp:docPr id="12" name="image2.png" descr="../../../Downloads/NOTA%20DE%20PRENSA_PNA%202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../../../Downloads/NOTA%20DE%20PRENSA_PNA%202018.jpg"/>
                    <pic:cNvPicPr preferRelativeResize="0"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6620" cy="1791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08DAE2" w14:textId="77777777" w:rsidR="00B9302E" w:rsidRDefault="00B9302E" w:rsidP="00B9302E">
      <w:pPr>
        <w:pStyle w:val="Ttulo1"/>
        <w:spacing w:after="200" w:line="276" w:lineRule="auto"/>
        <w:jc w:val="center"/>
        <w:rPr>
          <w:sz w:val="36"/>
          <w:szCs w:val="32"/>
        </w:rPr>
      </w:pPr>
      <w:r>
        <w:rPr>
          <w:sz w:val="36"/>
          <w:szCs w:val="32"/>
        </w:rPr>
        <w:t>5 propuestas de Extremadura seleccionadas a los Premios ARQUITECTURA 2024</w:t>
      </w:r>
    </w:p>
    <w:p w14:paraId="26C1D81C" w14:textId="77777777" w:rsidR="00B9302E" w:rsidRPr="00740E0D" w:rsidRDefault="00B9302E" w:rsidP="00B9302E">
      <w:pPr>
        <w:pStyle w:val="Ttulo1"/>
        <w:numPr>
          <w:ilvl w:val="0"/>
          <w:numId w:val="11"/>
        </w:numPr>
        <w:spacing w:after="200" w:line="276" w:lineRule="auto"/>
        <w:rPr>
          <w:rFonts w:asciiTheme="majorHAnsi" w:hAnsiTheme="majorHAnsi"/>
        </w:rPr>
      </w:pP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El Consejo Superior de los Colegios de Arquitectos de España (CSCAE) y </w:t>
      </w:r>
      <w:r w:rsidRPr="00361EA4">
        <w:rPr>
          <w:rFonts w:asciiTheme="majorHAnsi" w:hAnsiTheme="majorHAnsi" w:cstheme="majorHAnsi"/>
        </w:rPr>
        <w:t>COMPAC®</w:t>
      </w:r>
      <w:r w:rsidRPr="00361EA4">
        <w:rPr>
          <w:rFonts w:ascii="Helvetica" w:hAnsi="Helvetica"/>
          <w:sz w:val="18"/>
          <w:szCs w:val="18"/>
        </w:rPr>
        <w:t xml:space="preserve"> 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han anunciado </w:t>
      </w:r>
      <w:r>
        <w:rPr>
          <w:rFonts w:asciiTheme="majorHAnsi" w:hAnsiTheme="majorHAnsi" w:cs="Futura Condensed"/>
          <w:noProof/>
          <w:color w:val="000000" w:themeColor="text1"/>
        </w:rPr>
        <w:t>las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 </w:t>
      </w:r>
      <w:r>
        <w:rPr>
          <w:rFonts w:asciiTheme="majorHAnsi" w:hAnsiTheme="majorHAnsi" w:cs="Futura Condensed"/>
          <w:noProof/>
          <w:color w:val="000000" w:themeColor="text1"/>
        </w:rPr>
        <w:t>185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 </w:t>
      </w:r>
      <w:r>
        <w:rPr>
          <w:rFonts w:asciiTheme="majorHAnsi" w:hAnsiTheme="majorHAnsi" w:cs="Futura Condensed"/>
          <w:noProof/>
          <w:color w:val="000000" w:themeColor="text1"/>
        </w:rPr>
        <w:t>propuestas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 que pasan a la siguiente fase de los Premios ARQUITECTURA 202</w:t>
      </w:r>
      <w:r>
        <w:rPr>
          <w:rFonts w:asciiTheme="majorHAnsi" w:hAnsiTheme="majorHAnsi" w:cs="Futura Condensed"/>
          <w:noProof/>
          <w:color w:val="000000" w:themeColor="text1"/>
        </w:rPr>
        <w:t>4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, </w:t>
      </w:r>
      <w:r>
        <w:rPr>
          <w:rFonts w:asciiTheme="majorHAnsi" w:hAnsiTheme="majorHAnsi" w:cs="Futura Condensed"/>
          <w:noProof/>
          <w:color w:val="000000" w:themeColor="text1"/>
        </w:rPr>
        <w:t xml:space="preserve">5 </w:t>
      </w:r>
      <w:r w:rsidRPr="00361EA4">
        <w:rPr>
          <w:rFonts w:asciiTheme="majorHAnsi" w:hAnsiTheme="majorHAnsi" w:cs="Futura Condensed"/>
          <w:noProof/>
          <w:color w:val="000000" w:themeColor="text1"/>
        </w:rPr>
        <w:t xml:space="preserve">de ellas en </w:t>
      </w:r>
      <w:r>
        <w:rPr>
          <w:rFonts w:asciiTheme="majorHAnsi" w:hAnsiTheme="majorHAnsi" w:cs="Futura Condensed"/>
          <w:noProof/>
          <w:color w:val="000000" w:themeColor="text1"/>
        </w:rPr>
        <w:t xml:space="preserve">Extremadura. </w:t>
      </w:r>
      <w:r w:rsidRPr="00546867">
        <w:rPr>
          <w:rFonts w:asciiTheme="majorHAnsi" w:hAnsiTheme="majorHAnsi"/>
        </w:rPr>
        <w:t>Los ganadores se anunciarán en una gala el 20 de junio.</w:t>
      </w:r>
    </w:p>
    <w:p w14:paraId="758C7300" w14:textId="77777777" w:rsidR="00B9302E" w:rsidRPr="00740E0D" w:rsidRDefault="00B9302E" w:rsidP="00B9302E">
      <w:pPr>
        <w:pStyle w:val="Prrafodelista"/>
        <w:numPr>
          <w:ilvl w:val="0"/>
          <w:numId w:val="10"/>
        </w:numPr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</w:pPr>
      <w:r w:rsidRPr="00740E0D"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 xml:space="preserve">Entre las seleccionadas, se encuentran </w:t>
      </w:r>
      <w:r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 xml:space="preserve">cuatro obras de edificación: la nueva Facultad de Medicina de Badajoz, la sede del Grupo </w:t>
      </w:r>
      <w:proofErr w:type="spellStart"/>
      <w:r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>Vítaly</w:t>
      </w:r>
      <w:proofErr w:type="spellEnd"/>
      <w:r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 xml:space="preserve"> en Badajoz, la estación de autobuses en Casar de Cáceres y el Museo de los Pueblos de Colonización, además de una obra de espacio público por el plan director y la reforma de la Plaza de Entrerríos. </w:t>
      </w:r>
      <w:r w:rsidRPr="0003439E"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 xml:space="preserve">Se puede consultar la lista completa </w:t>
      </w:r>
      <w:hyperlink r:id="rId9" w:history="1">
        <w:r w:rsidRPr="0003439E">
          <w:rPr>
            <w:rStyle w:val="Hipervnculo"/>
            <w:rFonts w:asciiTheme="majorHAnsi" w:eastAsia="Calibri" w:hAnsiTheme="majorHAnsi" w:cs="Calibri"/>
            <w:b/>
            <w:sz w:val="22"/>
            <w:szCs w:val="22"/>
            <w:lang w:val="es-ES" w:eastAsia="es-ES_tradnl"/>
          </w:rPr>
          <w:t>aquí</w:t>
        </w:r>
      </w:hyperlink>
      <w:r w:rsidRPr="0003439E">
        <w:rPr>
          <w:rFonts w:asciiTheme="majorHAnsi" w:eastAsia="Calibri" w:hAnsiTheme="majorHAnsi" w:cs="Calibri"/>
          <w:b/>
          <w:color w:val="000000"/>
          <w:sz w:val="22"/>
          <w:szCs w:val="22"/>
          <w:lang w:val="es-ES" w:eastAsia="es-ES_tradnl"/>
        </w:rPr>
        <w:t>.</w:t>
      </w:r>
    </w:p>
    <w:p w14:paraId="2824B61F" w14:textId="77777777" w:rsidR="00B9302E" w:rsidRPr="00740E0D" w:rsidRDefault="00B9302E" w:rsidP="00B9302E">
      <w:pPr>
        <w:pStyle w:val="Ttulo1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/>
        </w:rPr>
      </w:pPr>
      <w:r w:rsidRPr="00364457">
        <w:rPr>
          <w:rFonts w:asciiTheme="majorHAnsi" w:hAnsiTheme="majorHAnsi"/>
        </w:rPr>
        <w:t>Organizados por el Consejo Superior de los Colegios de Arquitectos</w:t>
      </w:r>
      <w:r w:rsidRPr="001569E4">
        <w:rPr>
          <w:rFonts w:asciiTheme="majorHAnsi" w:hAnsiTheme="majorHAnsi"/>
        </w:rPr>
        <w:t xml:space="preserve"> de España (CSCAE), </w:t>
      </w:r>
      <w:r>
        <w:rPr>
          <w:rFonts w:asciiTheme="majorHAnsi" w:hAnsiTheme="majorHAnsi"/>
        </w:rPr>
        <w:t xml:space="preserve">con el patrocinio oficial de </w:t>
      </w:r>
      <w:r w:rsidRPr="00DE07A9">
        <w:rPr>
          <w:rFonts w:asciiTheme="majorHAnsi" w:hAnsiTheme="majorHAnsi" w:cs="Futura Condensed"/>
          <w:color w:val="000000" w:themeColor="text1"/>
        </w:rPr>
        <w:t>COMPAC®</w:t>
      </w:r>
      <w:r>
        <w:rPr>
          <w:rFonts w:asciiTheme="majorHAnsi" w:hAnsiTheme="majorHAnsi"/>
        </w:rPr>
        <w:t>, los</w:t>
      </w:r>
      <w:r w:rsidRPr="00D93959">
        <w:rPr>
          <w:rFonts w:asciiTheme="majorHAnsi" w:hAnsiTheme="majorHAnsi"/>
        </w:rPr>
        <w:t xml:space="preserve"> premios </w:t>
      </w:r>
      <w:r>
        <w:rPr>
          <w:rFonts w:asciiTheme="majorHAnsi" w:hAnsiTheme="majorHAnsi"/>
        </w:rPr>
        <w:t>refuerzan</w:t>
      </w:r>
      <w:r w:rsidRPr="00D9395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su</w:t>
      </w:r>
      <w:r w:rsidRPr="00D93959">
        <w:rPr>
          <w:rFonts w:asciiTheme="majorHAnsi" w:hAnsiTheme="majorHAnsi"/>
        </w:rPr>
        <w:t xml:space="preserve"> compromiso con la sociedad</w:t>
      </w:r>
      <w:r>
        <w:rPr>
          <w:rFonts w:asciiTheme="majorHAnsi" w:hAnsiTheme="majorHAnsi"/>
        </w:rPr>
        <w:t xml:space="preserve"> y la capacidad de la arquitectura para responder a los retos actuales. </w:t>
      </w:r>
    </w:p>
    <w:p w14:paraId="017A9263" w14:textId="63B3B08E" w:rsidR="007D7783" w:rsidRPr="003678A8" w:rsidRDefault="00E23F98" w:rsidP="003678A8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</w:rPr>
      </w:pPr>
      <w:r>
        <w:rPr>
          <w:b/>
          <w:noProof/>
        </w:rPr>
        <w:drawing>
          <wp:inline distT="0" distB="0" distL="0" distR="0" wp14:anchorId="121A33BA" wp14:editId="6F29F590">
            <wp:extent cx="5396230" cy="3027680"/>
            <wp:effectExtent l="0" t="0" r="1270" b="0"/>
            <wp:docPr id="698342762" name="Imagen 1" descr="Imagen que contiene firmar, edificio, caja, camione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342762" name="Imagen 1" descr="Imagen que contiene firmar, edificio, caja, camioneta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EABC3" w14:textId="335FE789" w:rsidR="00B0440A" w:rsidRPr="00B0440A" w:rsidRDefault="00545784" w:rsidP="00B0440A">
      <w:pPr>
        <w:pStyle w:val="Ttulo1"/>
        <w:spacing w:before="240" w:after="0" w:line="288" w:lineRule="auto"/>
        <w:jc w:val="both"/>
        <w:rPr>
          <w:b w:val="0"/>
        </w:rPr>
      </w:pPr>
      <w:r>
        <w:rPr>
          <w:b w:val="0"/>
        </w:rPr>
        <w:t xml:space="preserve">Madrid, </w:t>
      </w:r>
      <w:r w:rsidR="00BC578D">
        <w:rPr>
          <w:b w:val="0"/>
        </w:rPr>
        <w:t>11</w:t>
      </w:r>
      <w:r>
        <w:rPr>
          <w:b w:val="0"/>
        </w:rPr>
        <w:t xml:space="preserve"> de </w:t>
      </w:r>
      <w:r w:rsidR="00BC578D">
        <w:rPr>
          <w:b w:val="0"/>
        </w:rPr>
        <w:t>abril</w:t>
      </w:r>
      <w:r w:rsidR="006A3C22">
        <w:rPr>
          <w:b w:val="0"/>
        </w:rPr>
        <w:t xml:space="preserve"> de 2024</w:t>
      </w:r>
      <w:r>
        <w:rPr>
          <w:b w:val="0"/>
        </w:rPr>
        <w:t xml:space="preserve">. </w:t>
      </w:r>
    </w:p>
    <w:p w14:paraId="41F19CF4" w14:textId="77777777" w:rsidR="00FF7349" w:rsidRDefault="00FF7349" w:rsidP="00FF7349">
      <w:pPr>
        <w:spacing w:before="240" w:line="288" w:lineRule="auto"/>
        <w:jc w:val="both"/>
        <w:rPr>
          <w:rFonts w:asciiTheme="majorHAnsi" w:hAnsiTheme="majorHAnsi"/>
        </w:rPr>
      </w:pPr>
      <w:r w:rsidRPr="00BC578D">
        <w:rPr>
          <w:rFonts w:asciiTheme="majorHAnsi" w:hAnsiTheme="majorHAnsi"/>
        </w:rPr>
        <w:t xml:space="preserve">El Consejo Superior de los Colegios de Arquitectos de España (CSCAE) </w:t>
      </w:r>
      <w:r>
        <w:rPr>
          <w:rFonts w:asciiTheme="majorHAnsi" w:hAnsiTheme="majorHAnsi"/>
        </w:rPr>
        <w:t>ha anunciado, esta mañana,</w:t>
      </w:r>
      <w:r w:rsidRPr="00BC578D">
        <w:rPr>
          <w:rFonts w:asciiTheme="majorHAnsi" w:hAnsiTheme="majorHAnsi"/>
        </w:rPr>
        <w:t xml:space="preserve"> las </w:t>
      </w:r>
      <w:r>
        <w:rPr>
          <w:rFonts w:asciiTheme="majorHAnsi" w:hAnsiTheme="majorHAnsi"/>
        </w:rPr>
        <w:t>185</w:t>
      </w:r>
      <w:r w:rsidRPr="00BC578D">
        <w:rPr>
          <w:rFonts w:asciiTheme="majorHAnsi" w:hAnsiTheme="majorHAnsi"/>
        </w:rPr>
        <w:t xml:space="preserve"> propu</w:t>
      </w:r>
      <w:r>
        <w:rPr>
          <w:rFonts w:asciiTheme="majorHAnsi" w:hAnsiTheme="majorHAnsi"/>
        </w:rPr>
        <w:t>estas SELECCIONADAS en la primera fase de los Premios ARQUITECTURA 2024, que cuentan con el patrocinio oficial de COMPAC</w:t>
      </w:r>
      <w:r w:rsidRPr="00DE07A9">
        <w:rPr>
          <w:rFonts w:asciiTheme="majorHAnsi" w:hAnsiTheme="majorHAnsi" w:cs="Futura Condensed"/>
          <w:color w:val="000000" w:themeColor="text1"/>
        </w:rPr>
        <w:t>®</w:t>
      </w:r>
      <w:r>
        <w:rPr>
          <w:rFonts w:asciiTheme="majorHAnsi" w:hAnsiTheme="majorHAnsi"/>
        </w:rPr>
        <w:t xml:space="preserve">. La selección ha sido realizada por los Comités de Expertos de los </w:t>
      </w:r>
      <w:r w:rsidRPr="00BC578D">
        <w:rPr>
          <w:rFonts w:asciiTheme="majorHAnsi" w:hAnsiTheme="majorHAnsi"/>
        </w:rPr>
        <w:t xml:space="preserve">Colegios Oficiales de Arquitectos y Consejos Autonómicos dentro de sus </w:t>
      </w:r>
      <w:r>
        <w:rPr>
          <w:rFonts w:asciiTheme="majorHAnsi" w:hAnsiTheme="majorHAnsi"/>
        </w:rPr>
        <w:t xml:space="preserve">respectivos </w:t>
      </w:r>
      <w:r w:rsidRPr="00BC578D">
        <w:rPr>
          <w:rFonts w:asciiTheme="majorHAnsi" w:hAnsiTheme="majorHAnsi"/>
        </w:rPr>
        <w:t>ámbitos territoriales</w:t>
      </w:r>
      <w:r>
        <w:rPr>
          <w:rFonts w:asciiTheme="majorHAnsi" w:hAnsiTheme="majorHAnsi"/>
        </w:rPr>
        <w:t xml:space="preserve"> entre las 497</w:t>
      </w:r>
      <w:r w:rsidRPr="00BC578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propuestas recibidas en esta edición, un 15% más que en la anterior. El resultado muestra</w:t>
      </w:r>
      <w:r w:rsidRPr="00BC578D">
        <w:rPr>
          <w:rFonts w:asciiTheme="majorHAnsi" w:hAnsiTheme="majorHAnsi"/>
        </w:rPr>
        <w:t xml:space="preserve"> la</w:t>
      </w:r>
      <w:r>
        <w:rPr>
          <w:rFonts w:asciiTheme="majorHAnsi" w:hAnsiTheme="majorHAnsi"/>
        </w:rPr>
        <w:t xml:space="preserve"> amplia representación territorial de los Premios, así como la</w:t>
      </w:r>
      <w:r w:rsidRPr="00BC578D">
        <w:rPr>
          <w:rFonts w:asciiTheme="majorHAnsi" w:hAnsiTheme="majorHAnsi"/>
        </w:rPr>
        <w:t xml:space="preserve"> diversidad y calidad de los proyectos presentados, que van desde </w:t>
      </w:r>
      <w:r>
        <w:rPr>
          <w:rFonts w:asciiTheme="majorHAnsi" w:hAnsiTheme="majorHAnsi"/>
        </w:rPr>
        <w:t xml:space="preserve">edificación, </w:t>
      </w:r>
      <w:r>
        <w:rPr>
          <w:rFonts w:asciiTheme="majorHAnsi" w:hAnsiTheme="majorHAnsi"/>
        </w:rPr>
        <w:lastRenderedPageBreak/>
        <w:t>planificación urbana, interiorismo o arquitecturas efímeras, hasta trabajos de divulgación y difusión</w:t>
      </w:r>
      <w:r w:rsidRPr="00BC578D">
        <w:rPr>
          <w:rFonts w:asciiTheme="majorHAnsi" w:hAnsiTheme="majorHAnsi"/>
        </w:rPr>
        <w:t>, entre otros.</w:t>
      </w:r>
    </w:p>
    <w:p w14:paraId="6D1F11C2" w14:textId="77777777" w:rsidR="00FF7349" w:rsidRDefault="00FF7349" w:rsidP="00FF7349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E47AAF">
        <w:rPr>
          <w:rFonts w:asciiTheme="majorHAnsi" w:hAnsiTheme="majorHAnsi" w:cstheme="majorHAnsi"/>
        </w:rPr>
        <w:t>Las propuestas seleccionadas destacan por su innovación y calidad</w:t>
      </w:r>
      <w:r>
        <w:rPr>
          <w:rFonts w:asciiTheme="majorHAnsi" w:hAnsiTheme="majorHAnsi" w:cstheme="majorHAnsi"/>
        </w:rPr>
        <w:t>,</w:t>
      </w:r>
      <w:r w:rsidRPr="00E47AAF">
        <w:rPr>
          <w:rFonts w:asciiTheme="majorHAnsi" w:hAnsiTheme="majorHAnsi" w:cstheme="majorHAnsi"/>
        </w:rPr>
        <w:t xml:space="preserve"> por su impacto positivo </w:t>
      </w:r>
      <w:r w:rsidRPr="00D5478B">
        <w:rPr>
          <w:rFonts w:asciiTheme="majorHAnsi" w:hAnsiTheme="majorHAnsi" w:cstheme="majorHAnsi"/>
          <w:bCs/>
          <w:color w:val="000000" w:themeColor="text1"/>
        </w:rPr>
        <w:t>en la mejora continua del bienestar individual y colectivo, el refuerzo cultural de nuestro patrimonio y la recuperación del equilibrio medioambiental y territorial</w:t>
      </w:r>
      <w:r w:rsidRPr="00D5478B">
        <w:rPr>
          <w:rFonts w:asciiTheme="majorHAnsi" w:hAnsiTheme="majorHAnsi" w:cstheme="majorHAnsi"/>
          <w:color w:val="000000" w:themeColor="text1"/>
        </w:rPr>
        <w:t xml:space="preserve">. </w:t>
      </w:r>
      <w:r w:rsidRPr="00E47AAF">
        <w:rPr>
          <w:rFonts w:asciiTheme="majorHAnsi" w:hAnsiTheme="majorHAnsi" w:cstheme="majorHAnsi"/>
        </w:rPr>
        <w:t xml:space="preserve">Por ello, </w:t>
      </w:r>
      <w:r>
        <w:rPr>
          <w:rFonts w:asciiTheme="majorHAnsi" w:hAnsiTheme="majorHAnsi" w:cstheme="majorHAnsi"/>
        </w:rPr>
        <w:t>d</w:t>
      </w:r>
      <w:r w:rsidRPr="00E47AAF">
        <w:rPr>
          <w:rFonts w:asciiTheme="majorHAnsi" w:hAnsiTheme="majorHAnsi" w:cstheme="majorHAnsi"/>
        </w:rPr>
        <w:t xml:space="preserve">esde el CSCAE y </w:t>
      </w:r>
      <w:r w:rsidRPr="002E604D">
        <w:rPr>
          <w:rFonts w:asciiTheme="majorHAnsi" w:hAnsiTheme="majorHAnsi" w:cstheme="majorHAnsi"/>
        </w:rPr>
        <w:t>COMPAC®</w:t>
      </w:r>
      <w:r w:rsidRPr="00E47AAF">
        <w:rPr>
          <w:rFonts w:asciiTheme="majorHAnsi" w:hAnsiTheme="majorHAnsi" w:cstheme="majorHAnsi"/>
        </w:rPr>
        <w:t xml:space="preserve">, se invita a la ciudadanía a seguir de cerca la evolución de los premios y descubrir las propuestas que están transformando la arquitectura y el urbanismo, ayudándonos a abordar los desafíos </w:t>
      </w:r>
      <w:r>
        <w:rPr>
          <w:rFonts w:asciiTheme="majorHAnsi" w:hAnsiTheme="majorHAnsi" w:cstheme="majorHAnsi"/>
        </w:rPr>
        <w:t>del futuro</w:t>
      </w:r>
      <w:r w:rsidRPr="00E47AAF">
        <w:rPr>
          <w:rFonts w:asciiTheme="majorHAnsi" w:hAnsiTheme="majorHAnsi" w:cstheme="majorHAnsi"/>
        </w:rPr>
        <w:t>.</w:t>
      </w:r>
    </w:p>
    <w:p w14:paraId="5964A135" w14:textId="77777777" w:rsidR="00B0440A" w:rsidRPr="00B0440A" w:rsidRDefault="00B0440A" w:rsidP="00B0440A"/>
    <w:p w14:paraId="17F1B6B6" w14:textId="75D9E4F4" w:rsidR="00B0440A" w:rsidRPr="00FF7349" w:rsidRDefault="00B9302E" w:rsidP="00B0440A">
      <w:pPr>
        <w:jc w:val="both"/>
        <w:rPr>
          <w:rFonts w:asciiTheme="majorHAnsi" w:hAnsiTheme="majorHAnsi"/>
          <w:b/>
          <w:sz w:val="32"/>
          <w:szCs w:val="24"/>
        </w:rPr>
      </w:pPr>
      <w:r>
        <w:rPr>
          <w:rFonts w:asciiTheme="majorHAnsi" w:hAnsiTheme="majorHAnsi"/>
          <w:b/>
          <w:sz w:val="32"/>
          <w:szCs w:val="24"/>
        </w:rPr>
        <w:t>5</w:t>
      </w:r>
      <w:r w:rsidR="00FB0EC7" w:rsidRPr="00FF7349">
        <w:rPr>
          <w:rFonts w:asciiTheme="majorHAnsi" w:hAnsiTheme="majorHAnsi"/>
          <w:b/>
          <w:sz w:val="32"/>
          <w:szCs w:val="24"/>
        </w:rPr>
        <w:t xml:space="preserve"> </w:t>
      </w:r>
      <w:proofErr w:type="gramStart"/>
      <w:r w:rsidR="00FB0EC7" w:rsidRPr="00FF7349">
        <w:rPr>
          <w:rFonts w:asciiTheme="majorHAnsi" w:hAnsiTheme="majorHAnsi"/>
          <w:b/>
          <w:sz w:val="32"/>
          <w:szCs w:val="24"/>
        </w:rPr>
        <w:t>Propuestas</w:t>
      </w:r>
      <w:proofErr w:type="gramEnd"/>
      <w:r w:rsidR="00FB0EC7" w:rsidRPr="00FF7349">
        <w:rPr>
          <w:rFonts w:asciiTheme="majorHAnsi" w:hAnsiTheme="majorHAnsi"/>
          <w:b/>
          <w:sz w:val="32"/>
          <w:szCs w:val="24"/>
        </w:rPr>
        <w:t xml:space="preserve"> SELECCIONADAS en </w:t>
      </w:r>
      <w:r>
        <w:rPr>
          <w:rFonts w:asciiTheme="majorHAnsi" w:hAnsiTheme="majorHAnsi"/>
          <w:b/>
          <w:sz w:val="32"/>
          <w:szCs w:val="24"/>
        </w:rPr>
        <w:t>Extremadura</w:t>
      </w:r>
    </w:p>
    <w:p w14:paraId="1E484A58" w14:textId="77777777" w:rsidR="00FF7349" w:rsidRDefault="00FF7349" w:rsidP="00FF7349">
      <w:pPr>
        <w:spacing w:before="240" w:line="288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De acuerdo con el reparto territorial establecido en las bases de los Premios ARQUITECTURA, e</w:t>
      </w:r>
      <w:r w:rsidRPr="00195FC1">
        <w:rPr>
          <w:rFonts w:asciiTheme="majorHAnsi" w:hAnsiTheme="majorHAnsi"/>
          <w:color w:val="000000" w:themeColor="text1"/>
        </w:rPr>
        <w:t xml:space="preserve">l </w:t>
      </w:r>
      <w:r w:rsidRPr="00364457">
        <w:rPr>
          <w:rFonts w:asciiTheme="majorHAnsi" w:eastAsia="Calibri" w:hAnsiTheme="majorHAnsi" w:cs="Calibri"/>
          <w:b/>
          <w:color w:val="000000"/>
        </w:rPr>
        <w:t xml:space="preserve">listado se compone </w:t>
      </w:r>
      <w:r>
        <w:rPr>
          <w:rFonts w:asciiTheme="majorHAnsi" w:eastAsia="Calibri" w:hAnsiTheme="majorHAnsi" w:cs="Calibri"/>
          <w:b/>
          <w:color w:val="000000"/>
        </w:rPr>
        <w:t>de</w:t>
      </w:r>
      <w:r w:rsidRPr="00364457">
        <w:rPr>
          <w:rFonts w:asciiTheme="majorHAnsi" w:eastAsia="Calibri" w:hAnsiTheme="majorHAnsi" w:cs="Calibri"/>
          <w:b/>
          <w:color w:val="000000"/>
        </w:rPr>
        <w:t xml:space="preserve"> </w:t>
      </w:r>
      <w:r w:rsidRPr="0003439E">
        <w:rPr>
          <w:rFonts w:asciiTheme="majorHAnsi" w:eastAsia="Calibri" w:hAnsiTheme="majorHAnsi" w:cs="Calibri"/>
          <w:b/>
          <w:color w:val="000000"/>
        </w:rPr>
        <w:t xml:space="preserve">17 en Andalucía, 6 en Aragón, </w:t>
      </w:r>
      <w:r>
        <w:rPr>
          <w:rFonts w:asciiTheme="majorHAnsi" w:eastAsia="Calibri" w:hAnsiTheme="majorHAnsi" w:cs="Calibri"/>
          <w:b/>
          <w:color w:val="000000"/>
        </w:rPr>
        <w:t>3</w:t>
      </w:r>
      <w:r w:rsidRPr="0003439E">
        <w:rPr>
          <w:rFonts w:asciiTheme="majorHAnsi" w:eastAsia="Calibri" w:hAnsiTheme="majorHAnsi" w:cs="Calibri"/>
          <w:b/>
          <w:color w:val="000000"/>
        </w:rPr>
        <w:t xml:space="preserve"> en Asturias, 6 en Cantabria, 7 en Castilla-La Mancha, 14 en Castilla y León, 30 en Cataluña, 5 en Extremadura, 12 en Galicia, 6 en Islas Baleares, 8 en Islas Canarias, 5 en La Rioja, 30 en Madrid, 6 en Murcia, 14 en País Vasco y Navarra, 16 en </w:t>
      </w:r>
      <w:r>
        <w:rPr>
          <w:rFonts w:asciiTheme="majorHAnsi" w:eastAsia="Calibri" w:hAnsiTheme="majorHAnsi" w:cs="Calibri"/>
          <w:b/>
          <w:color w:val="000000"/>
        </w:rPr>
        <w:t xml:space="preserve">Comunidad </w:t>
      </w:r>
      <w:r w:rsidRPr="0003439E">
        <w:rPr>
          <w:rFonts w:asciiTheme="majorHAnsi" w:eastAsia="Calibri" w:hAnsiTheme="majorHAnsi" w:cs="Calibri"/>
          <w:b/>
          <w:color w:val="000000"/>
        </w:rPr>
        <w:t>Valencia</w:t>
      </w:r>
      <w:r>
        <w:rPr>
          <w:rFonts w:asciiTheme="majorHAnsi" w:eastAsia="Calibri" w:hAnsiTheme="majorHAnsi" w:cs="Calibri"/>
          <w:b/>
          <w:color w:val="000000"/>
        </w:rPr>
        <w:t>na</w:t>
      </w:r>
      <w:r w:rsidRPr="00A47EC5">
        <w:rPr>
          <w:rFonts w:asciiTheme="majorHAnsi" w:eastAsia="Calibri" w:hAnsiTheme="majorHAnsi" w:cs="Calibri"/>
          <w:b/>
          <w:color w:val="000000"/>
        </w:rPr>
        <w:t>.</w:t>
      </w:r>
    </w:p>
    <w:p w14:paraId="25C6C558" w14:textId="31652C4F" w:rsidR="005E7A41" w:rsidRDefault="00FF7349" w:rsidP="00FF7349">
      <w:pPr>
        <w:spacing w:before="240" w:line="288" w:lineRule="auto"/>
        <w:jc w:val="both"/>
        <w:rPr>
          <w:rFonts w:asciiTheme="majorHAnsi" w:hAnsiTheme="majorHAnsi"/>
          <w:color w:val="000000" w:themeColor="text1"/>
        </w:rPr>
      </w:pPr>
      <w:r w:rsidRPr="007F01CC">
        <w:rPr>
          <w:rFonts w:asciiTheme="majorHAnsi" w:hAnsiTheme="majorHAnsi"/>
          <w:color w:val="000000" w:themeColor="text1"/>
        </w:rPr>
        <w:t>Cada Colegio Oficial de Arquitectos y Consejo Autonómico ha realizado la selección dentro de su ámbito territorial, siguiendo los criterios y valores establecidos en las bases: universales, culturales y artísticos, profesionales y éticos, valores asociados a la innovación, diversificación, divulgación y difusión, así como a la rehabilitación, renovación y regeneración y a la permanencia.</w:t>
      </w:r>
    </w:p>
    <w:p w14:paraId="28DFA250" w14:textId="77777777" w:rsidR="00B9302E" w:rsidRDefault="00B9302E" w:rsidP="00FF7349">
      <w:pPr>
        <w:spacing w:before="240" w:line="288" w:lineRule="auto"/>
        <w:jc w:val="both"/>
        <w:rPr>
          <w:rFonts w:asciiTheme="majorHAnsi" w:hAnsiTheme="majorHAnsi"/>
          <w:color w:val="000000" w:themeColor="text1"/>
        </w:rPr>
      </w:pPr>
    </w:p>
    <w:tbl>
      <w:tblPr>
        <w:tblStyle w:val="Tabladelista3-nfasis1"/>
        <w:tblW w:w="6217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910"/>
        <w:gridCol w:w="1357"/>
        <w:gridCol w:w="1570"/>
        <w:gridCol w:w="1087"/>
        <w:gridCol w:w="2584"/>
        <w:gridCol w:w="3046"/>
      </w:tblGrid>
      <w:tr w:rsidR="00B9302E" w:rsidRPr="00057718" w14:paraId="45AC2468" w14:textId="77777777" w:rsidTr="00203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1" w:type="pct"/>
            <w:vAlign w:val="center"/>
          </w:tcPr>
          <w:p w14:paraId="68F8456C" w14:textId="77777777" w:rsidR="00B9302E" w:rsidRPr="00057718" w:rsidRDefault="00B9302E" w:rsidP="00203A07">
            <w:pP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  <w:t>CÓDIGO</w:t>
            </w:r>
          </w:p>
        </w:tc>
        <w:tc>
          <w:tcPr>
            <w:tcW w:w="643" w:type="pct"/>
            <w:vAlign w:val="center"/>
          </w:tcPr>
          <w:p w14:paraId="178C2BC2" w14:textId="77777777" w:rsidR="00B9302E" w:rsidRPr="00057718" w:rsidRDefault="00B9302E" w:rsidP="00203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  <w:t>TÍTULO</w:t>
            </w:r>
          </w:p>
        </w:tc>
        <w:tc>
          <w:tcPr>
            <w:tcW w:w="744" w:type="pct"/>
            <w:vAlign w:val="center"/>
          </w:tcPr>
          <w:p w14:paraId="77777E0D" w14:textId="77777777" w:rsidR="00B9302E" w:rsidRPr="00057718" w:rsidRDefault="00B9302E" w:rsidP="00203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b w:val="0"/>
                <w:bCs w:val="0"/>
                <w:kern w:val="0"/>
                <w:sz w:val="17"/>
                <w:szCs w:val="17"/>
                <w:lang w:eastAsia="es-ES_tradnl"/>
                <w14:ligatures w14:val="none"/>
              </w:rPr>
              <w:t>AUTORES</w:t>
            </w:r>
          </w:p>
        </w:tc>
        <w:tc>
          <w:tcPr>
            <w:tcW w:w="515" w:type="pct"/>
            <w:vAlign w:val="center"/>
          </w:tcPr>
          <w:p w14:paraId="3E2BAAFD" w14:textId="77777777" w:rsidR="00B9302E" w:rsidRPr="00057718" w:rsidRDefault="00B9302E" w:rsidP="00203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  <w:t>ÁMBITO</w:t>
            </w:r>
          </w:p>
        </w:tc>
        <w:tc>
          <w:tcPr>
            <w:tcW w:w="1224" w:type="pct"/>
            <w:vAlign w:val="center"/>
          </w:tcPr>
          <w:p w14:paraId="2C4B85E7" w14:textId="77777777" w:rsidR="00B9302E" w:rsidRPr="00057718" w:rsidRDefault="00B9302E" w:rsidP="00203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  <w:t>DESCRIPCIÓN</w:t>
            </w:r>
          </w:p>
        </w:tc>
        <w:tc>
          <w:tcPr>
            <w:tcW w:w="1443" w:type="pct"/>
            <w:vAlign w:val="center"/>
          </w:tcPr>
          <w:p w14:paraId="685CA829" w14:textId="77777777" w:rsidR="00B9302E" w:rsidRPr="00057718" w:rsidRDefault="00B9302E" w:rsidP="00203A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7"/>
                <w:szCs w:val="17"/>
                <w:lang w:eastAsia="es-ES_tradnl"/>
                <w14:ligatures w14:val="none"/>
              </w:rPr>
            </w:pPr>
            <w:r w:rsidRPr="00057718">
              <w:rPr>
                <w:rFonts w:ascii="Calibri" w:eastAsia="Times New Roman" w:hAnsi="Calibri" w:cs="Calibri"/>
                <w:kern w:val="0"/>
                <w:sz w:val="17"/>
                <w:szCs w:val="17"/>
                <w:lang w:eastAsia="es-ES_tradnl"/>
                <w14:ligatures w14:val="none"/>
              </w:rPr>
              <w:t>FOTOGRAFÍA</w:t>
            </w:r>
          </w:p>
        </w:tc>
      </w:tr>
      <w:tr w:rsidR="00B9302E" w:rsidRPr="00CC23E2" w14:paraId="7AFA4730" w14:textId="77777777" w:rsidTr="00B93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 w:val="restart"/>
            <w:vAlign w:val="center"/>
            <w:hideMark/>
          </w:tcPr>
          <w:p w14:paraId="77FD78C1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BEA0401</w:t>
            </w:r>
          </w:p>
        </w:tc>
        <w:tc>
          <w:tcPr>
            <w:tcW w:w="643" w:type="pct"/>
            <w:vMerge w:val="restart"/>
            <w:vAlign w:val="center"/>
            <w:hideMark/>
          </w:tcPr>
          <w:p w14:paraId="520E6F2F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Nueva Facultad de Medicina de Badajoz</w:t>
            </w:r>
          </w:p>
        </w:tc>
        <w:tc>
          <w:tcPr>
            <w:tcW w:w="744" w:type="pct"/>
            <w:vAlign w:val="center"/>
            <w:hideMark/>
          </w:tcPr>
          <w:p w14:paraId="0ECC4DA5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ALBERTO MARTINEZ CASTILLO</w:t>
            </w:r>
          </w:p>
        </w:tc>
        <w:tc>
          <w:tcPr>
            <w:tcW w:w="515" w:type="pct"/>
            <w:vMerge w:val="restart"/>
            <w:vAlign w:val="center"/>
            <w:hideMark/>
          </w:tcPr>
          <w:p w14:paraId="4ECB782D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edificación</w:t>
            </w:r>
          </w:p>
        </w:tc>
        <w:tc>
          <w:tcPr>
            <w:tcW w:w="1224" w:type="pct"/>
            <w:vMerge w:val="restart"/>
            <w:vAlign w:val="center"/>
            <w:hideMark/>
          </w:tcPr>
          <w:p w14:paraId="6ECE29E4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HABITAT La nueva Facultad de Medicina de Badajoz es un edificio público. Para nosotros, ha significado hacer la mejor arquitectura posible con el </w:t>
            </w:r>
            <w:proofErr w:type="spellStart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aju</w:t>
            </w:r>
            <w:proofErr w:type="spellEnd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 ...</w:t>
            </w:r>
          </w:p>
        </w:tc>
        <w:tc>
          <w:tcPr>
            <w:tcW w:w="1443" w:type="pct"/>
            <w:vMerge w:val="restart"/>
            <w:vAlign w:val="center"/>
            <w:hideMark/>
          </w:tcPr>
          <w:p w14:paraId="7629FDF8" w14:textId="77777777" w:rsidR="00B9302E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  <w:p w14:paraId="440113BF" w14:textId="77777777" w:rsidR="00B9302E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B12B8C2" wp14:editId="1846D4BA">
                  <wp:extent cx="1761954" cy="3132568"/>
                  <wp:effectExtent l="0" t="0" r="3810" b="4445"/>
                  <wp:docPr id="1" name="Imagen 1" descr="Imagen principal no disponi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n principal no disponi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450" cy="325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5F5B94" w14:textId="77777777" w:rsidR="00B9302E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  <w:p w14:paraId="7D492AC2" w14:textId="77777777" w:rsidR="00B9302E" w:rsidRPr="00CC23E2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68B115F3" w14:textId="77777777" w:rsidTr="00203A0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/>
            <w:vAlign w:val="center"/>
            <w:hideMark/>
          </w:tcPr>
          <w:p w14:paraId="6E8A003C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643" w:type="pct"/>
            <w:vMerge/>
            <w:vAlign w:val="center"/>
            <w:hideMark/>
          </w:tcPr>
          <w:p w14:paraId="3F37EB1E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744" w:type="pct"/>
            <w:vAlign w:val="center"/>
            <w:hideMark/>
          </w:tcPr>
          <w:p w14:paraId="5F43B856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BEATRIZ MATOS CASTAÑO</w:t>
            </w:r>
          </w:p>
        </w:tc>
        <w:tc>
          <w:tcPr>
            <w:tcW w:w="515" w:type="pct"/>
            <w:vMerge/>
            <w:vAlign w:val="center"/>
            <w:hideMark/>
          </w:tcPr>
          <w:p w14:paraId="44039E4C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224" w:type="pct"/>
            <w:vMerge/>
            <w:vAlign w:val="center"/>
            <w:hideMark/>
          </w:tcPr>
          <w:p w14:paraId="59DCA864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443" w:type="pct"/>
            <w:vMerge/>
            <w:vAlign w:val="center"/>
            <w:hideMark/>
          </w:tcPr>
          <w:p w14:paraId="0134FBEB" w14:textId="77777777" w:rsidR="00B9302E" w:rsidRPr="00CC23E2" w:rsidRDefault="00B9302E" w:rsidP="00203A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4AE01FE4" w14:textId="77777777" w:rsidTr="00B93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 w:val="restart"/>
            <w:vAlign w:val="center"/>
            <w:hideMark/>
          </w:tcPr>
          <w:p w14:paraId="6CA3F23A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lastRenderedPageBreak/>
              <w:t>DAN0184</w:t>
            </w:r>
          </w:p>
        </w:tc>
        <w:tc>
          <w:tcPr>
            <w:tcW w:w="643" w:type="pct"/>
            <w:vMerge w:val="restart"/>
            <w:vAlign w:val="center"/>
            <w:hideMark/>
          </w:tcPr>
          <w:p w14:paraId="68909666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SEDE GRUPO VÍTALY EN BADAJOZ</w:t>
            </w:r>
          </w:p>
        </w:tc>
        <w:tc>
          <w:tcPr>
            <w:tcW w:w="744" w:type="pct"/>
            <w:vAlign w:val="center"/>
            <w:hideMark/>
          </w:tcPr>
          <w:p w14:paraId="0DE6C683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DANIEL NICOLAS JIMENEZ FERRERA</w:t>
            </w:r>
          </w:p>
        </w:tc>
        <w:tc>
          <w:tcPr>
            <w:tcW w:w="515" w:type="pct"/>
            <w:vMerge w:val="restart"/>
            <w:vAlign w:val="center"/>
            <w:hideMark/>
          </w:tcPr>
          <w:p w14:paraId="695A41F1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edificación</w:t>
            </w:r>
          </w:p>
        </w:tc>
        <w:tc>
          <w:tcPr>
            <w:tcW w:w="1224" w:type="pct"/>
            <w:vMerge w:val="restart"/>
            <w:vAlign w:val="center"/>
            <w:hideMark/>
          </w:tcPr>
          <w:p w14:paraId="46A096CA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El edificio VÍTALY (</w:t>
            </w:r>
            <w:proofErr w:type="spellStart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DJO_Arquitectos</w:t>
            </w:r>
            <w:proofErr w:type="spellEnd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) cuenta con los máximos estándares de sostenibilidad y la mínima huella ecológica, tanto en sus resultados en </w:t>
            </w:r>
            <w:proofErr w:type="spellStart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inte</w:t>
            </w:r>
            <w:proofErr w:type="spellEnd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 ...</w:t>
            </w:r>
          </w:p>
        </w:tc>
        <w:tc>
          <w:tcPr>
            <w:tcW w:w="1443" w:type="pct"/>
            <w:vMerge w:val="restart"/>
            <w:vAlign w:val="center"/>
            <w:hideMark/>
          </w:tcPr>
          <w:p w14:paraId="19C58DDD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05BACC6" wp14:editId="08001388">
                  <wp:extent cx="1798320" cy="1011555"/>
                  <wp:effectExtent l="0" t="0" r="0" b="0"/>
                  <wp:docPr id="2" name="Imagen 2" descr="Imagen principal no disponi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n principal no disponi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02E" w:rsidRPr="00CC23E2" w14:paraId="5BAE229B" w14:textId="77777777" w:rsidTr="00203A07">
        <w:trPr>
          <w:trHeight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/>
            <w:vAlign w:val="center"/>
            <w:hideMark/>
          </w:tcPr>
          <w:p w14:paraId="1334480B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643" w:type="pct"/>
            <w:vMerge/>
            <w:vAlign w:val="center"/>
            <w:hideMark/>
          </w:tcPr>
          <w:p w14:paraId="57BC9C25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744" w:type="pct"/>
            <w:vAlign w:val="center"/>
            <w:hideMark/>
          </w:tcPr>
          <w:p w14:paraId="79BF2296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JAIME OLIVERA QUINTANILLA</w:t>
            </w:r>
          </w:p>
        </w:tc>
        <w:tc>
          <w:tcPr>
            <w:tcW w:w="515" w:type="pct"/>
            <w:vMerge/>
            <w:vAlign w:val="center"/>
            <w:hideMark/>
          </w:tcPr>
          <w:p w14:paraId="349ECAF4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224" w:type="pct"/>
            <w:vMerge/>
            <w:vAlign w:val="center"/>
            <w:hideMark/>
          </w:tcPr>
          <w:p w14:paraId="4ADCD339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443" w:type="pct"/>
            <w:vMerge/>
            <w:vAlign w:val="center"/>
            <w:hideMark/>
          </w:tcPr>
          <w:p w14:paraId="14A010B8" w14:textId="77777777" w:rsidR="00B9302E" w:rsidRPr="00CC23E2" w:rsidRDefault="00B9302E" w:rsidP="00203A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48AD850B" w14:textId="77777777" w:rsidTr="00203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Align w:val="center"/>
            <w:hideMark/>
          </w:tcPr>
          <w:p w14:paraId="42728440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LID0720</w:t>
            </w:r>
          </w:p>
        </w:tc>
        <w:tc>
          <w:tcPr>
            <w:tcW w:w="643" w:type="pct"/>
            <w:vAlign w:val="center"/>
            <w:hideMark/>
          </w:tcPr>
          <w:p w14:paraId="3E487353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Estación de Autobuses en Casar de Cáceres, Cáceres</w:t>
            </w:r>
          </w:p>
        </w:tc>
        <w:tc>
          <w:tcPr>
            <w:tcW w:w="744" w:type="pct"/>
            <w:vAlign w:val="center"/>
            <w:hideMark/>
          </w:tcPr>
          <w:p w14:paraId="7C7D1C74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JUSTO GARCIA RUBIO</w:t>
            </w:r>
          </w:p>
        </w:tc>
        <w:tc>
          <w:tcPr>
            <w:tcW w:w="515" w:type="pct"/>
            <w:vAlign w:val="center"/>
            <w:hideMark/>
          </w:tcPr>
          <w:p w14:paraId="66B97E28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edificación</w:t>
            </w:r>
          </w:p>
        </w:tc>
        <w:tc>
          <w:tcPr>
            <w:tcW w:w="1224" w:type="pct"/>
            <w:vAlign w:val="center"/>
            <w:hideMark/>
          </w:tcPr>
          <w:p w14:paraId="7529B3A6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La estación de autobuses en Casar trasciende su función primordial para convertirse en un emblema regional, integrando con maestría la innovación </w:t>
            </w:r>
            <w:proofErr w:type="spellStart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técn</w:t>
            </w:r>
            <w:proofErr w:type="spellEnd"/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 xml:space="preserve"> ...</w:t>
            </w:r>
          </w:p>
        </w:tc>
        <w:tc>
          <w:tcPr>
            <w:tcW w:w="1443" w:type="pct"/>
            <w:vAlign w:val="center"/>
            <w:hideMark/>
          </w:tcPr>
          <w:p w14:paraId="5BDDCF74" w14:textId="77777777" w:rsidR="00B9302E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5F9F598" wp14:editId="614F69A3">
                  <wp:extent cx="1798320" cy="1011555"/>
                  <wp:effectExtent l="0" t="0" r="0" b="0"/>
                  <wp:docPr id="474823052" name="Imagen 474823052" descr="Imagen principal no disponi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n principal no disponi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6C8169" w14:textId="77777777" w:rsidR="00B9302E" w:rsidRPr="00CC23E2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4BFDC482" w14:textId="77777777" w:rsidTr="00203A07">
        <w:trPr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 w:val="restart"/>
            <w:vAlign w:val="center"/>
            <w:hideMark/>
          </w:tcPr>
          <w:p w14:paraId="43D5C00D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LOR0452</w:t>
            </w:r>
          </w:p>
        </w:tc>
        <w:tc>
          <w:tcPr>
            <w:tcW w:w="643" w:type="pct"/>
            <w:vMerge w:val="restart"/>
            <w:vAlign w:val="center"/>
            <w:hideMark/>
          </w:tcPr>
          <w:p w14:paraId="7A359061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Museo de los Pueblos de Colonización</w:t>
            </w:r>
          </w:p>
        </w:tc>
        <w:tc>
          <w:tcPr>
            <w:tcW w:w="744" w:type="pct"/>
            <w:vAlign w:val="center"/>
            <w:hideMark/>
          </w:tcPr>
          <w:p w14:paraId="73F0DB63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LORENZO FERNANDEZ-ORDOÑEZ HERNANDEZ</w:t>
            </w:r>
          </w:p>
        </w:tc>
        <w:tc>
          <w:tcPr>
            <w:tcW w:w="515" w:type="pct"/>
            <w:vMerge w:val="restart"/>
            <w:vAlign w:val="center"/>
            <w:hideMark/>
          </w:tcPr>
          <w:p w14:paraId="7A1D526F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edificación</w:t>
            </w:r>
          </w:p>
        </w:tc>
        <w:tc>
          <w:tcPr>
            <w:tcW w:w="1224" w:type="pct"/>
            <w:vMerge w:val="restart"/>
            <w:vAlign w:val="center"/>
            <w:hideMark/>
          </w:tcPr>
          <w:p w14:paraId="51F054B3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Sostenibilidad y salud La dotación propuesta apela a la memoria y reserva espacios para un nuevo centro de estudios. Gran parte de la edificación se ...</w:t>
            </w:r>
          </w:p>
        </w:tc>
        <w:tc>
          <w:tcPr>
            <w:tcW w:w="1443" w:type="pct"/>
            <w:vMerge w:val="restart"/>
            <w:vAlign w:val="center"/>
            <w:hideMark/>
          </w:tcPr>
          <w:p w14:paraId="0BEE31EB" w14:textId="77777777" w:rsidR="00B9302E" w:rsidRPr="00CC23E2" w:rsidRDefault="00B9302E" w:rsidP="00203A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E946C81" wp14:editId="5F1365FB">
                  <wp:extent cx="1798320" cy="1011555"/>
                  <wp:effectExtent l="0" t="0" r="0" b="0"/>
                  <wp:docPr id="206928269" name="Imagen 206928269" descr="Imagen principal no disponi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n principal no disponi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02E" w:rsidRPr="00CC23E2" w14:paraId="1C556137" w14:textId="77777777" w:rsidTr="00203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/>
            <w:vAlign w:val="center"/>
            <w:hideMark/>
          </w:tcPr>
          <w:p w14:paraId="61689BA5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643" w:type="pct"/>
            <w:vMerge/>
            <w:vAlign w:val="center"/>
            <w:hideMark/>
          </w:tcPr>
          <w:p w14:paraId="052802C7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744" w:type="pct"/>
            <w:vAlign w:val="center"/>
            <w:hideMark/>
          </w:tcPr>
          <w:p w14:paraId="6AFF4D1B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ARANZAZU LA CASTA MUÑOA</w:t>
            </w:r>
          </w:p>
        </w:tc>
        <w:tc>
          <w:tcPr>
            <w:tcW w:w="515" w:type="pct"/>
            <w:vMerge/>
            <w:vAlign w:val="center"/>
            <w:hideMark/>
          </w:tcPr>
          <w:p w14:paraId="5F3DE337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224" w:type="pct"/>
            <w:vMerge/>
            <w:vAlign w:val="center"/>
            <w:hideMark/>
          </w:tcPr>
          <w:p w14:paraId="6442B016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443" w:type="pct"/>
            <w:vMerge/>
            <w:vAlign w:val="center"/>
            <w:hideMark/>
          </w:tcPr>
          <w:p w14:paraId="6D6A268A" w14:textId="77777777" w:rsidR="00B9302E" w:rsidRPr="00CC23E2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563C2473" w14:textId="77777777" w:rsidTr="00203A0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Merge/>
            <w:vAlign w:val="center"/>
            <w:hideMark/>
          </w:tcPr>
          <w:p w14:paraId="127F2FCF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643" w:type="pct"/>
            <w:vMerge/>
            <w:vAlign w:val="center"/>
            <w:hideMark/>
          </w:tcPr>
          <w:p w14:paraId="3459CDD9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744" w:type="pct"/>
            <w:vAlign w:val="center"/>
            <w:hideMark/>
          </w:tcPr>
          <w:p w14:paraId="743AD9C4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FERNANDO DE PORRAS ISLA</w:t>
            </w:r>
          </w:p>
        </w:tc>
        <w:tc>
          <w:tcPr>
            <w:tcW w:w="515" w:type="pct"/>
            <w:vMerge/>
            <w:vAlign w:val="center"/>
            <w:hideMark/>
          </w:tcPr>
          <w:p w14:paraId="10C12F8A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224" w:type="pct"/>
            <w:vMerge/>
            <w:vAlign w:val="center"/>
            <w:hideMark/>
          </w:tcPr>
          <w:p w14:paraId="5E4973DC" w14:textId="77777777" w:rsidR="00B9302E" w:rsidRPr="00CC23E2" w:rsidRDefault="00B9302E" w:rsidP="0020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  <w:tc>
          <w:tcPr>
            <w:tcW w:w="1443" w:type="pct"/>
            <w:vMerge/>
            <w:vAlign w:val="center"/>
            <w:hideMark/>
          </w:tcPr>
          <w:p w14:paraId="42EE97A3" w14:textId="77777777" w:rsidR="00B9302E" w:rsidRPr="00CC23E2" w:rsidRDefault="00B9302E" w:rsidP="00203A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</w:p>
        </w:tc>
      </w:tr>
      <w:tr w:rsidR="00B9302E" w:rsidRPr="00CC23E2" w14:paraId="2256E819" w14:textId="77777777" w:rsidTr="00203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" w:type="pct"/>
            <w:vAlign w:val="center"/>
            <w:hideMark/>
          </w:tcPr>
          <w:p w14:paraId="5C4F409E" w14:textId="77777777" w:rsidR="00B9302E" w:rsidRPr="00CC23E2" w:rsidRDefault="00B9302E" w:rsidP="00203A07">
            <w:pPr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TIB0702</w:t>
            </w:r>
          </w:p>
        </w:tc>
        <w:tc>
          <w:tcPr>
            <w:tcW w:w="643" w:type="pct"/>
            <w:vAlign w:val="center"/>
            <w:hideMark/>
          </w:tcPr>
          <w:p w14:paraId="676EDC5D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PLAN DIRECTOR Y REFORMA DE LA PLAZA DE ENTRERRÍOS</w:t>
            </w:r>
          </w:p>
        </w:tc>
        <w:tc>
          <w:tcPr>
            <w:tcW w:w="744" w:type="pct"/>
            <w:vAlign w:val="center"/>
            <w:hideMark/>
          </w:tcPr>
          <w:p w14:paraId="2308DC5D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- TIBURCIO MARTIN SOLO DE ZALDIVAR</w:t>
            </w:r>
          </w:p>
        </w:tc>
        <w:tc>
          <w:tcPr>
            <w:tcW w:w="515" w:type="pct"/>
            <w:vAlign w:val="center"/>
            <w:hideMark/>
          </w:tcPr>
          <w:p w14:paraId="25FAA9F0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espacio público</w:t>
            </w:r>
          </w:p>
        </w:tc>
        <w:tc>
          <w:tcPr>
            <w:tcW w:w="1224" w:type="pct"/>
            <w:vAlign w:val="center"/>
            <w:hideMark/>
          </w:tcPr>
          <w:p w14:paraId="1C5620F9" w14:textId="77777777" w:rsidR="00B9302E" w:rsidRPr="00CC23E2" w:rsidRDefault="00B9302E" w:rsidP="0020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 w:rsidRPr="00CC23E2">
              <w:rPr>
                <w:rFonts w:ascii="Poppins" w:eastAsia="Times New Roman" w:hAnsi="Poppins" w:cs="Poppins"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  <w:t>Comprometida con la salud, su fin es la accesibilidad universal, espacio sin barreras, y olvidar al vehículo. El lugar renovado pone a las personas en ...</w:t>
            </w:r>
          </w:p>
        </w:tc>
        <w:tc>
          <w:tcPr>
            <w:tcW w:w="1443" w:type="pct"/>
            <w:vAlign w:val="center"/>
            <w:hideMark/>
          </w:tcPr>
          <w:p w14:paraId="2F3BC08F" w14:textId="77777777" w:rsidR="00B9302E" w:rsidRPr="00CC23E2" w:rsidRDefault="00B9302E" w:rsidP="00203A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b/>
                <w:bCs/>
                <w:color w:val="4B4E52"/>
                <w:kern w:val="0"/>
                <w:sz w:val="15"/>
                <w:szCs w:val="15"/>
                <w:lang w:eastAsia="es-E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63C3537" wp14:editId="4ED22917">
                  <wp:extent cx="1798320" cy="1011555"/>
                  <wp:effectExtent l="0" t="0" r="0" b="0"/>
                  <wp:docPr id="5" name="Imagen 5" descr="Imagen principal no disponi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n principal no disponi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10A2D" w14:textId="4874374F" w:rsidR="00F51943" w:rsidRPr="007F01CC" w:rsidRDefault="00F51943" w:rsidP="005E7A41">
      <w:pPr>
        <w:spacing w:before="240" w:line="288" w:lineRule="auto"/>
        <w:rPr>
          <w:rFonts w:asciiTheme="majorHAnsi" w:hAnsiTheme="majorHAnsi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AA46C" wp14:editId="55028B17">
                <wp:simplePos x="0" y="0"/>
                <wp:positionH relativeFrom="column">
                  <wp:posOffset>0</wp:posOffset>
                </wp:positionH>
                <wp:positionV relativeFrom="paragraph">
                  <wp:posOffset>352425</wp:posOffset>
                </wp:positionV>
                <wp:extent cx="1828800" cy="1828800"/>
                <wp:effectExtent l="0" t="0" r="0" b="3810"/>
                <wp:wrapSquare wrapText="bothSides"/>
                <wp:docPr id="118697718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ECA5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038EA" w14:textId="77777777" w:rsidR="00F51943" w:rsidRPr="00A0063C" w:rsidRDefault="00F51943" w:rsidP="00F51943">
                            <w:pPr>
                              <w:spacing w:before="240" w:line="288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C6571"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El listado completo de propuestas seleccionadas puede consultarse en este </w:t>
                            </w:r>
                            <w:hyperlink r:id="rId16" w:history="1">
                              <w:r w:rsidRPr="00EC6571">
                                <w:rPr>
                                  <w:rStyle w:val="Hipervnculo"/>
                                  <w:rFonts w:asciiTheme="majorHAnsi" w:hAnsiTheme="maj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enlace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7AA46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27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" fillcolor="#feca53" stroked="f" strokeweight=".5pt">
                <v:textbox style="mso-fit-shape-to-text:t">
                  <w:txbxContent>
                    <w:p w14:paraId="2A6038EA" w14:textId="77777777" w:rsidR="00F51943" w:rsidRPr="00A0063C" w:rsidRDefault="00F51943" w:rsidP="00F51943">
                      <w:pPr>
                        <w:spacing w:before="240" w:line="288" w:lineRule="auto"/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EC6571"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El listado completo de propuestas seleccionadas puede consultarse en este </w:t>
                      </w:r>
                      <w:hyperlink r:id="rId17" w:history="1">
                        <w:r w:rsidRPr="00EC6571">
                          <w:rPr>
                            <w:rStyle w:val="Hipervnculo"/>
                            <w:rFonts w:asciiTheme="majorHAnsi" w:hAnsiTheme="majorHAnsi"/>
                            <w:b/>
                            <w:bCs/>
                            <w:sz w:val="28"/>
                            <w:szCs w:val="28"/>
                          </w:rPr>
                          <w:t>enlace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2AD397" w14:textId="77777777" w:rsidR="00730935" w:rsidRPr="00EE4CE1" w:rsidRDefault="00730935" w:rsidP="00730935">
      <w:pPr>
        <w:spacing w:before="240" w:line="288" w:lineRule="auto"/>
        <w:jc w:val="both"/>
        <w:rPr>
          <w:rFonts w:asciiTheme="majorHAnsi" w:hAnsiTheme="majorHAnsi"/>
          <w:color w:val="FF0000"/>
        </w:rPr>
      </w:pPr>
      <w:r w:rsidRPr="00D20B65">
        <w:rPr>
          <w:rFonts w:asciiTheme="majorHAnsi" w:hAnsiTheme="majorHAnsi"/>
          <w:bCs/>
          <w:color w:val="000000" w:themeColor="text1"/>
        </w:rPr>
        <w:t>El</w:t>
      </w:r>
      <w:r w:rsidRPr="007F01CC">
        <w:rPr>
          <w:rFonts w:asciiTheme="majorHAnsi" w:hAnsiTheme="majorHAnsi"/>
          <w:color w:val="000000" w:themeColor="text1"/>
        </w:rPr>
        <w:t xml:space="preserve"> vicepresidente primero del CSCAE,</w:t>
      </w:r>
      <w:r w:rsidRPr="00AC44A1">
        <w:rPr>
          <w:rFonts w:asciiTheme="majorHAnsi" w:hAnsiTheme="majorHAnsi"/>
          <w:b/>
          <w:color w:val="000000" w:themeColor="text1"/>
        </w:rPr>
        <w:t xml:space="preserve"> </w:t>
      </w:r>
      <w:r w:rsidRPr="007F01CC">
        <w:rPr>
          <w:rFonts w:asciiTheme="majorHAnsi" w:hAnsiTheme="majorHAnsi"/>
          <w:b/>
          <w:color w:val="000000" w:themeColor="text1"/>
        </w:rPr>
        <w:t>Juan Antonio Ortiz Orueta</w:t>
      </w:r>
      <w:r w:rsidRPr="007F01CC">
        <w:rPr>
          <w:rFonts w:asciiTheme="majorHAnsi" w:hAnsiTheme="majorHAnsi"/>
          <w:color w:val="000000" w:themeColor="text1"/>
        </w:rPr>
        <w:t xml:space="preserve">, ha </w:t>
      </w:r>
      <w:r>
        <w:rPr>
          <w:rFonts w:asciiTheme="majorHAnsi" w:hAnsiTheme="majorHAnsi"/>
          <w:color w:val="000000" w:themeColor="text1"/>
        </w:rPr>
        <w:t>desgranado</w:t>
      </w:r>
      <w:r w:rsidRPr="007F01CC">
        <w:rPr>
          <w:rFonts w:asciiTheme="majorHAnsi" w:hAnsiTheme="majorHAnsi"/>
          <w:color w:val="000000" w:themeColor="text1"/>
        </w:rPr>
        <w:t xml:space="preserve"> estos datos en </w:t>
      </w:r>
      <w:r w:rsidRPr="00D20B65">
        <w:rPr>
          <w:rFonts w:asciiTheme="majorHAnsi" w:hAnsiTheme="majorHAnsi"/>
          <w:color w:val="000000" w:themeColor="text1"/>
        </w:rPr>
        <w:t xml:space="preserve">una rueda de prensa, celebrada en la sede de la Fundación ICO, y ha valorado el importante papel que realizan los Colegios y los Consejos Autonómicos en esta primera fase de los Premios ARQUITECTURA, subrayando que “la Arquitectura es de donde se ubica, y es su entorno y quienes lo habitan quienes más se benefician de su calidad. De ahí la importancia de potenciarla, conocerla y preservarla”. </w:t>
      </w:r>
    </w:p>
    <w:p w14:paraId="02F035F1" w14:textId="77777777" w:rsidR="00FD0094" w:rsidRDefault="00FD0094" w:rsidP="00FD0094">
      <w:pPr>
        <w:spacing w:before="240" w:line="288" w:lineRule="auto"/>
        <w:jc w:val="both"/>
        <w:rPr>
          <w:rFonts w:asciiTheme="majorHAnsi" w:hAnsiTheme="majorHAnsi"/>
          <w:color w:val="000000" w:themeColor="text1"/>
        </w:rPr>
      </w:pPr>
      <w:r w:rsidRPr="009F1DC2">
        <w:rPr>
          <w:rFonts w:asciiTheme="majorHAnsi" w:hAnsiTheme="majorHAnsi"/>
          <w:color w:val="000000" w:themeColor="text1"/>
        </w:rPr>
        <w:t xml:space="preserve">Por su parte, la </w:t>
      </w:r>
      <w:r>
        <w:rPr>
          <w:rFonts w:asciiTheme="majorHAnsi" w:hAnsiTheme="majorHAnsi"/>
          <w:color w:val="000000" w:themeColor="text1"/>
        </w:rPr>
        <w:t>d</w:t>
      </w:r>
      <w:r w:rsidRPr="009F1DC2">
        <w:rPr>
          <w:rFonts w:asciiTheme="majorHAnsi" w:hAnsiTheme="majorHAnsi"/>
          <w:color w:val="000000" w:themeColor="text1"/>
        </w:rPr>
        <w:t xml:space="preserve">irectora de Marketing y Ventas de COMPAC®, </w:t>
      </w:r>
      <w:r w:rsidRPr="009F1DC2">
        <w:rPr>
          <w:rFonts w:asciiTheme="majorHAnsi" w:hAnsiTheme="majorHAnsi"/>
          <w:b/>
          <w:bCs/>
          <w:color w:val="000000" w:themeColor="text1"/>
        </w:rPr>
        <w:t>Mila Sánchez</w:t>
      </w:r>
      <w:r w:rsidRPr="009F1DC2">
        <w:rPr>
          <w:rFonts w:asciiTheme="majorHAnsi" w:hAnsiTheme="majorHAnsi"/>
          <w:color w:val="000000" w:themeColor="text1"/>
        </w:rPr>
        <w:t xml:space="preserve">, ha destacado: “El éxito de participación de esta tercera edición nos confirma que los Premios ARQUITECTURA del </w:t>
      </w:r>
      <w:r w:rsidRPr="009F1DC2">
        <w:rPr>
          <w:rFonts w:asciiTheme="majorHAnsi" w:hAnsiTheme="majorHAnsi"/>
          <w:color w:val="000000" w:themeColor="text1"/>
        </w:rPr>
        <w:lastRenderedPageBreak/>
        <w:t>CSCAE son ya un referente indiscutible, que cumple con el objetivo de su creación: acercar a la sociedad la labor y el compromiso de la arquitectura. Razón por la cual, COMPAC® tomó la decisión, hace ya tres años, de apoyar a CSCAE en este ambicioso reto</w:t>
      </w:r>
      <w:r>
        <w:rPr>
          <w:rFonts w:asciiTheme="majorHAnsi" w:hAnsiTheme="majorHAnsi"/>
          <w:color w:val="000000" w:themeColor="text1"/>
        </w:rPr>
        <w:t>”.</w:t>
      </w:r>
    </w:p>
    <w:p w14:paraId="7F0B39D9" w14:textId="77777777" w:rsidR="00FF7349" w:rsidRDefault="00FF7349" w:rsidP="00FF7349">
      <w:pPr>
        <w:spacing w:before="240" w:line="288" w:lineRule="auto"/>
        <w:jc w:val="both"/>
        <w:rPr>
          <w:rFonts w:asciiTheme="majorHAnsi" w:hAnsiTheme="majorHAnsi" w:cstheme="majorHAnsi"/>
          <w:color w:val="000000"/>
        </w:rPr>
      </w:pPr>
      <w:r w:rsidRPr="000F2191">
        <w:rPr>
          <w:rFonts w:asciiTheme="majorHAnsi" w:hAnsiTheme="majorHAnsi" w:cstheme="majorHAnsi"/>
          <w:color w:val="000000" w:themeColor="text1"/>
        </w:rPr>
        <w:t>Como novedad</w:t>
      </w:r>
      <w:r>
        <w:rPr>
          <w:rFonts w:asciiTheme="majorHAnsi" w:hAnsiTheme="majorHAnsi" w:cstheme="majorHAnsi"/>
          <w:color w:val="000000" w:themeColor="text1"/>
        </w:rPr>
        <w:t>,</w:t>
      </w:r>
      <w:r w:rsidRPr="000F2191">
        <w:rPr>
          <w:rFonts w:asciiTheme="majorHAnsi" w:hAnsiTheme="majorHAnsi" w:cstheme="majorHAnsi"/>
          <w:color w:val="000000" w:themeColor="text1"/>
        </w:rPr>
        <w:t xml:space="preserve"> en esta edición, se han presentado </w:t>
      </w:r>
      <w:r w:rsidRPr="000F2191">
        <w:rPr>
          <w:rFonts w:asciiTheme="majorHAnsi" w:hAnsiTheme="majorHAnsi" w:cstheme="majorHAnsi"/>
          <w:color w:val="000000"/>
        </w:rPr>
        <w:t>tres sellos gráficos que serán compartidos con los/las autores/as de las propuestas SELECCIONADAS para identificarlas como tales en sus respectivos canales de difusión. Esta iniciativa tiene como finalidad reconocer el mérito y el esfuerzo de los/as participantes en los Premios ARQUITECTURA y fomentar su visibilidad, permitiendo que puedan destacar su logro y compartirlo con su audiencia.</w:t>
      </w:r>
    </w:p>
    <w:p w14:paraId="3D560CB8" w14:textId="6724E190" w:rsidR="00FF7349" w:rsidRPr="00FF7349" w:rsidRDefault="00FF7349" w:rsidP="00FF7349">
      <w:pPr>
        <w:spacing w:before="240" w:line="288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32"/>
          <w:szCs w:val="32"/>
        </w:rPr>
      </w:pPr>
      <w:r w:rsidRPr="001B7E69">
        <w:rPr>
          <w:rFonts w:asciiTheme="majorHAnsi" w:hAnsiTheme="majorHAnsi" w:cstheme="majorHAnsi"/>
          <w:b/>
          <w:bCs/>
          <w:color w:val="000000"/>
          <w:sz w:val="32"/>
          <w:szCs w:val="32"/>
        </w:rPr>
        <w:t>Segunda fase de los Premios ARQUITECTURA</w:t>
      </w:r>
    </w:p>
    <w:p w14:paraId="734D7BB4" w14:textId="77777777" w:rsidR="00FF7349" w:rsidRDefault="00FF7349" w:rsidP="00FF7349">
      <w:pPr>
        <w:spacing w:before="240" w:line="288" w:lineRule="auto"/>
        <w:jc w:val="both"/>
      </w:pPr>
      <w:r>
        <w:rPr>
          <w:rFonts w:asciiTheme="majorHAnsi" w:hAnsiTheme="majorHAnsi" w:cstheme="majorHAnsi"/>
          <w:color w:val="000000" w:themeColor="text1"/>
        </w:rPr>
        <w:t>A partir de</w:t>
      </w:r>
      <w:r w:rsidRPr="00195FC1">
        <w:rPr>
          <w:rFonts w:asciiTheme="majorHAnsi" w:hAnsiTheme="majorHAnsi" w:cstheme="majorHAnsi"/>
          <w:color w:val="000000" w:themeColor="text1"/>
        </w:rPr>
        <w:t xml:space="preserve"> esta selección, </w:t>
      </w:r>
      <w:r>
        <w:rPr>
          <w:rFonts w:asciiTheme="majorHAnsi" w:hAnsiTheme="majorHAnsi" w:cstheme="majorHAnsi"/>
          <w:color w:val="000000" w:themeColor="text1"/>
        </w:rPr>
        <w:t>en mayo se celebrará la reunión del</w:t>
      </w:r>
      <w:r w:rsidRPr="00195FC1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J</w:t>
      </w:r>
      <w:r w:rsidRPr="00195FC1">
        <w:rPr>
          <w:rFonts w:asciiTheme="majorHAnsi" w:hAnsiTheme="majorHAnsi" w:cstheme="majorHAnsi"/>
          <w:color w:val="000000" w:themeColor="text1"/>
        </w:rPr>
        <w:t>urado</w:t>
      </w:r>
      <w:r>
        <w:rPr>
          <w:rFonts w:asciiTheme="majorHAnsi" w:hAnsiTheme="majorHAnsi" w:cstheme="majorHAnsi"/>
          <w:color w:val="000000" w:themeColor="text1"/>
        </w:rPr>
        <w:t>, que</w:t>
      </w:r>
      <w:r w:rsidRPr="00195FC1">
        <w:rPr>
          <w:rFonts w:asciiTheme="majorHAnsi" w:hAnsiTheme="majorHAnsi" w:cstheme="majorHAnsi"/>
          <w:color w:val="000000" w:themeColor="text1"/>
        </w:rPr>
        <w:t xml:space="preserve"> elegir</w:t>
      </w:r>
      <w:r>
        <w:rPr>
          <w:rFonts w:asciiTheme="majorHAnsi" w:hAnsiTheme="majorHAnsi" w:cstheme="majorHAnsi"/>
          <w:color w:val="000000" w:themeColor="text1"/>
        </w:rPr>
        <w:t>á</w:t>
      </w:r>
      <w:r w:rsidRPr="00195FC1">
        <w:rPr>
          <w:rFonts w:asciiTheme="majorHAnsi" w:hAnsiTheme="majorHAnsi" w:cstheme="majorHAnsi"/>
          <w:color w:val="000000" w:themeColor="text1"/>
        </w:rPr>
        <w:t xml:space="preserve"> las obras </w:t>
      </w:r>
      <w:r w:rsidRPr="00195FC1">
        <w:rPr>
          <w:rFonts w:asciiTheme="majorHAnsi" w:hAnsiTheme="majorHAnsi" w:cstheme="majorHAnsi"/>
          <w:b/>
          <w:color w:val="000000" w:themeColor="text1"/>
        </w:rPr>
        <w:t>FINALISTAS</w:t>
      </w:r>
      <w:r w:rsidRPr="00195FC1">
        <w:rPr>
          <w:rFonts w:asciiTheme="majorHAnsi" w:hAnsiTheme="majorHAnsi" w:cstheme="majorHAnsi"/>
          <w:color w:val="000000" w:themeColor="text1"/>
        </w:rPr>
        <w:t xml:space="preserve"> y, el 20 de junio, se anunciará el nombre de los proyectos ganadores de los Premios ARQUITECTURA</w:t>
      </w:r>
      <w:r>
        <w:rPr>
          <w:rFonts w:asciiTheme="majorHAnsi" w:hAnsiTheme="majorHAnsi" w:cstheme="majorHAnsi"/>
          <w:color w:val="000000" w:themeColor="text1"/>
        </w:rPr>
        <w:t xml:space="preserve"> 2024, en directo, en el transcurso de una gala</w:t>
      </w:r>
      <w:r w:rsidRPr="00195FC1">
        <w:rPr>
          <w:rFonts w:asciiTheme="majorHAnsi" w:hAnsiTheme="majorHAnsi" w:cstheme="majorHAnsi"/>
          <w:color w:val="000000" w:themeColor="text1"/>
        </w:rPr>
        <w:t xml:space="preserve">. </w:t>
      </w:r>
      <w:r w:rsidRPr="00251A77">
        <w:rPr>
          <w:rFonts w:asciiTheme="majorHAnsi" w:hAnsiTheme="majorHAnsi" w:cstheme="majorHAnsi"/>
          <w:bCs/>
          <w:color w:val="000000" w:themeColor="text1"/>
        </w:rPr>
        <w:t xml:space="preserve">En total, se otorgarán </w:t>
      </w:r>
      <w:r w:rsidRPr="00251A77">
        <w:rPr>
          <w:rFonts w:asciiTheme="majorHAnsi" w:hAnsiTheme="majorHAnsi" w:cstheme="majorHAnsi"/>
          <w:b/>
          <w:bCs/>
          <w:color w:val="000000" w:themeColor="text1"/>
        </w:rPr>
        <w:t>seis distinciones basadas en valores</w:t>
      </w:r>
      <w:r w:rsidRPr="00251A77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FB7460">
        <w:rPr>
          <w:rFonts w:asciiTheme="majorHAnsi" w:hAnsiTheme="majorHAnsi" w:cstheme="majorHAnsi"/>
          <w:b/>
          <w:color w:val="000000" w:themeColor="text1"/>
        </w:rPr>
        <w:t>y tres reconocimientos especiales</w:t>
      </w:r>
      <w:r w:rsidRPr="00251A77">
        <w:rPr>
          <w:rFonts w:asciiTheme="majorHAnsi" w:hAnsiTheme="majorHAnsi" w:cstheme="majorHAnsi"/>
          <w:bCs/>
          <w:color w:val="000000" w:themeColor="text1"/>
        </w:rPr>
        <w:t xml:space="preserve">: el </w:t>
      </w:r>
      <w:r w:rsidRPr="00251A77">
        <w:rPr>
          <w:rFonts w:asciiTheme="majorHAnsi" w:hAnsiTheme="majorHAnsi" w:cstheme="majorHAnsi"/>
          <w:b/>
          <w:bCs/>
          <w:color w:val="000000" w:themeColor="text1"/>
        </w:rPr>
        <w:t>Premio de Arquitectura Española</w:t>
      </w:r>
      <w:r w:rsidRPr="00251A77">
        <w:rPr>
          <w:rFonts w:asciiTheme="majorHAnsi" w:hAnsiTheme="majorHAnsi" w:cstheme="majorHAnsi"/>
          <w:bCs/>
          <w:color w:val="000000" w:themeColor="text1"/>
        </w:rPr>
        <w:t xml:space="preserve">, el </w:t>
      </w:r>
      <w:r w:rsidRPr="00251A77">
        <w:rPr>
          <w:rFonts w:asciiTheme="majorHAnsi" w:hAnsiTheme="majorHAnsi" w:cstheme="majorHAnsi"/>
          <w:b/>
          <w:bCs/>
          <w:color w:val="000000" w:themeColor="text1"/>
        </w:rPr>
        <w:t>Premio de Urbanismo Español</w:t>
      </w:r>
      <w:r w:rsidRPr="00251A77">
        <w:rPr>
          <w:rFonts w:asciiTheme="majorHAnsi" w:hAnsiTheme="majorHAnsi" w:cstheme="majorHAnsi"/>
          <w:bCs/>
          <w:color w:val="000000" w:themeColor="text1"/>
        </w:rPr>
        <w:t xml:space="preserve"> y el </w:t>
      </w:r>
      <w:r w:rsidRPr="00251A77">
        <w:rPr>
          <w:rFonts w:asciiTheme="majorHAnsi" w:hAnsiTheme="majorHAnsi" w:cstheme="majorHAnsi"/>
          <w:b/>
          <w:bCs/>
          <w:color w:val="000000" w:themeColor="text1"/>
        </w:rPr>
        <w:t xml:space="preserve">Premio 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a la </w:t>
      </w:r>
      <w:r w:rsidRPr="00251A77">
        <w:rPr>
          <w:rFonts w:asciiTheme="majorHAnsi" w:hAnsiTheme="majorHAnsi" w:cstheme="majorHAnsi"/>
          <w:b/>
          <w:bCs/>
          <w:color w:val="000000" w:themeColor="text1"/>
        </w:rPr>
        <w:t>Permanencia</w:t>
      </w:r>
      <w:r w:rsidRPr="00251A77">
        <w:rPr>
          <w:rFonts w:asciiTheme="majorHAnsi" w:hAnsiTheme="majorHAnsi" w:cstheme="majorHAnsi"/>
          <w:bCs/>
          <w:color w:val="000000" w:themeColor="text1"/>
        </w:rPr>
        <w:t>.</w:t>
      </w:r>
      <w:bookmarkStart w:id="0" w:name="_heading=h.30j0zll" w:colFirst="0" w:colLast="0"/>
      <w:bookmarkEnd w:id="0"/>
      <w:r w:rsidRPr="00251A77">
        <w:rPr>
          <w:rFonts w:asciiTheme="majorHAnsi" w:hAnsiTheme="majorHAnsi" w:cstheme="majorHAnsi"/>
          <w:color w:val="000000" w:themeColor="text1"/>
        </w:rPr>
        <w:t xml:space="preserve"> </w:t>
      </w:r>
      <w:r w:rsidRPr="00251A77">
        <w:rPr>
          <w:rFonts w:asciiTheme="majorHAnsi" w:eastAsia="Calibri" w:hAnsiTheme="majorHAnsi" w:cstheme="majorHAnsi"/>
          <w:bCs/>
          <w:color w:val="000000" w:themeColor="text1"/>
        </w:rPr>
        <w:t xml:space="preserve">En el caso de las distinciones especiales, el reconocimiento no solo distingue a los/as </w:t>
      </w:r>
      <w:r w:rsidRPr="00251A77">
        <w:rPr>
          <w:rFonts w:asciiTheme="majorHAnsi" w:eastAsia="Calibri" w:hAnsiTheme="majorHAnsi" w:cstheme="majorHAnsi"/>
          <w:b/>
          <w:bCs/>
          <w:color w:val="000000" w:themeColor="text1"/>
        </w:rPr>
        <w:t>autores</w:t>
      </w:r>
      <w:r w:rsidRPr="00251A77">
        <w:rPr>
          <w:rFonts w:asciiTheme="majorHAnsi" w:eastAsia="Calibri" w:hAnsiTheme="majorHAnsi" w:cstheme="majorHAnsi"/>
          <w:bCs/>
          <w:color w:val="000000" w:themeColor="text1"/>
        </w:rPr>
        <w:t xml:space="preserve"> de la propuesta, sino también a los </w:t>
      </w:r>
      <w:r w:rsidRPr="00251A77">
        <w:rPr>
          <w:rFonts w:asciiTheme="majorHAnsi" w:eastAsia="Calibri" w:hAnsiTheme="majorHAnsi" w:cstheme="majorHAnsi"/>
          <w:b/>
          <w:bCs/>
          <w:color w:val="000000" w:themeColor="text1"/>
        </w:rPr>
        <w:t>promotores</w:t>
      </w:r>
      <w:r w:rsidRPr="00251A77">
        <w:rPr>
          <w:rFonts w:asciiTheme="majorHAnsi" w:eastAsia="Calibri" w:hAnsiTheme="majorHAnsi" w:cstheme="majorHAnsi"/>
          <w:bCs/>
          <w:color w:val="000000" w:themeColor="text1"/>
        </w:rPr>
        <w:t xml:space="preserve">, </w:t>
      </w:r>
      <w:r w:rsidRPr="00251A77">
        <w:rPr>
          <w:rFonts w:asciiTheme="majorHAnsi" w:eastAsia="Calibri" w:hAnsiTheme="majorHAnsi" w:cstheme="majorHAnsi"/>
          <w:b/>
          <w:bCs/>
          <w:color w:val="000000" w:themeColor="text1"/>
        </w:rPr>
        <w:t>Administraciones</w:t>
      </w:r>
      <w:r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Públicas</w:t>
      </w:r>
      <w:r w:rsidRPr="00251A77">
        <w:rPr>
          <w:rFonts w:asciiTheme="majorHAnsi" w:eastAsia="Calibri" w:hAnsiTheme="majorHAnsi" w:cstheme="majorHAnsi"/>
          <w:bCs/>
          <w:color w:val="000000" w:themeColor="text1"/>
        </w:rPr>
        <w:t xml:space="preserve"> o </w:t>
      </w:r>
      <w:r w:rsidRPr="00251A77">
        <w:rPr>
          <w:rFonts w:asciiTheme="majorHAnsi" w:eastAsia="Calibri" w:hAnsiTheme="majorHAnsi" w:cstheme="majorHAnsi"/>
          <w:b/>
          <w:bCs/>
          <w:color w:val="000000" w:themeColor="text1"/>
        </w:rPr>
        <w:t>entidades</w:t>
      </w:r>
      <w:r w:rsidRPr="00251A77">
        <w:rPr>
          <w:rFonts w:asciiTheme="majorHAnsi" w:eastAsia="Calibri" w:hAnsiTheme="majorHAnsi" w:cstheme="majorHAnsi"/>
          <w:bCs/>
          <w:color w:val="000000" w:themeColor="text1"/>
        </w:rPr>
        <w:t xml:space="preserve"> que los hacen posible. De esta forma, se quiere poner en valor su necesaria implicación en el proceso y su apuesta por una calidad que redunda en el bienestar de la ciudadanía. </w:t>
      </w:r>
    </w:p>
    <w:p w14:paraId="35ECB756" w14:textId="77777777" w:rsidR="00FF7349" w:rsidRPr="001B7E69" w:rsidRDefault="00FF7349" w:rsidP="00FF7349">
      <w:pPr>
        <w:pStyle w:val="Ttulo1"/>
        <w:spacing w:before="240" w:after="0" w:line="288" w:lineRule="auto"/>
        <w:jc w:val="both"/>
        <w:rPr>
          <w:rFonts w:asciiTheme="majorHAnsi" w:hAnsiTheme="majorHAnsi" w:cs="Futura Condensed"/>
          <w:color w:val="000000" w:themeColor="text1"/>
          <w:sz w:val="32"/>
          <w:szCs w:val="24"/>
        </w:rPr>
      </w:pPr>
      <w:r w:rsidRPr="001B7E69">
        <w:rPr>
          <w:rFonts w:asciiTheme="majorHAnsi" w:hAnsiTheme="majorHAnsi" w:cs="Futura Condensed"/>
          <w:color w:val="000000" w:themeColor="text1"/>
          <w:sz w:val="32"/>
          <w:szCs w:val="24"/>
        </w:rPr>
        <w:t>Cuatro décadas reconociendo la calidad arquitectónica</w:t>
      </w:r>
    </w:p>
    <w:p w14:paraId="55424079" w14:textId="77777777" w:rsidR="00FF7349" w:rsidRDefault="00FF7349" w:rsidP="00FF7349">
      <w:pPr>
        <w:spacing w:before="240" w:line="288" w:lineRule="auto"/>
        <w:jc w:val="both"/>
        <w:rPr>
          <w:rFonts w:asciiTheme="majorHAnsi" w:eastAsia="Calibri" w:hAnsiTheme="majorHAnsi" w:cstheme="majorHAnsi"/>
          <w:bCs/>
        </w:rPr>
      </w:pPr>
      <w:r w:rsidRPr="0019658D">
        <w:rPr>
          <w:rFonts w:asciiTheme="majorHAnsi" w:eastAsia="Calibri" w:hAnsiTheme="majorHAnsi" w:cstheme="majorHAnsi"/>
          <w:bCs/>
        </w:rPr>
        <w:t xml:space="preserve">Los Premios ARQUITECTURA se han </w:t>
      </w:r>
      <w:r w:rsidRPr="0019658D">
        <w:rPr>
          <w:rFonts w:asciiTheme="majorHAnsi" w:eastAsia="Calibri" w:hAnsiTheme="majorHAnsi" w:cstheme="majorHAnsi"/>
          <w:b/>
          <w:bCs/>
        </w:rPr>
        <w:t>consolidado</w:t>
      </w:r>
      <w:r w:rsidRPr="0019658D">
        <w:rPr>
          <w:rFonts w:asciiTheme="majorHAnsi" w:eastAsia="Calibri" w:hAnsiTheme="majorHAnsi" w:cstheme="majorHAnsi"/>
          <w:bCs/>
        </w:rPr>
        <w:t xml:space="preserve"> desde su arranque en 2021, cuando </w:t>
      </w:r>
      <w:r>
        <w:rPr>
          <w:rFonts w:asciiTheme="majorHAnsi" w:eastAsia="Calibri" w:hAnsiTheme="majorHAnsi" w:cstheme="majorHAnsi"/>
          <w:bCs/>
        </w:rPr>
        <w:t xml:space="preserve">el </w:t>
      </w:r>
      <w:r w:rsidRPr="0019658D">
        <w:rPr>
          <w:rFonts w:asciiTheme="majorHAnsi" w:eastAsia="Calibri" w:hAnsiTheme="majorHAnsi" w:cstheme="majorHAnsi"/>
          <w:bCs/>
        </w:rPr>
        <w:t xml:space="preserve">CSCAE decidió dar un giro de 180º al conjunto de los reconocimientos que venía otorgando desde el año 1981. El actual formato ha permitido </w:t>
      </w:r>
      <w:r w:rsidRPr="0019658D">
        <w:rPr>
          <w:rFonts w:asciiTheme="majorHAnsi" w:eastAsia="Calibri" w:hAnsiTheme="majorHAnsi" w:cstheme="majorHAnsi"/>
          <w:b/>
          <w:bCs/>
        </w:rPr>
        <w:t>acercar más la arquitectura a la sociedad</w:t>
      </w:r>
      <w:r w:rsidRPr="0019658D">
        <w:rPr>
          <w:rFonts w:asciiTheme="majorHAnsi" w:eastAsia="Calibri" w:hAnsiTheme="majorHAnsi" w:cstheme="majorHAnsi"/>
          <w:bCs/>
        </w:rPr>
        <w:t xml:space="preserve">, dando a conocer al público general las aportaciones del sector </w:t>
      </w:r>
      <w:r>
        <w:rPr>
          <w:rFonts w:asciiTheme="majorHAnsi" w:eastAsia="Calibri" w:hAnsiTheme="majorHAnsi" w:cstheme="majorHAnsi"/>
          <w:bCs/>
        </w:rPr>
        <w:t>para</w:t>
      </w:r>
      <w:r w:rsidRPr="0019658D">
        <w:rPr>
          <w:rFonts w:asciiTheme="majorHAnsi" w:eastAsia="Calibri" w:hAnsiTheme="majorHAnsi" w:cstheme="majorHAnsi"/>
          <w:bCs/>
        </w:rPr>
        <w:t xml:space="preserve"> mejorar la habitabilidad, garantizar el acceso a una vivienda digna, </w:t>
      </w:r>
      <w:r>
        <w:rPr>
          <w:rFonts w:asciiTheme="majorHAnsi" w:eastAsia="Calibri" w:hAnsiTheme="majorHAnsi" w:cstheme="majorHAnsi"/>
          <w:bCs/>
        </w:rPr>
        <w:t xml:space="preserve">proyectar </w:t>
      </w:r>
      <w:r w:rsidRPr="0019658D">
        <w:rPr>
          <w:rFonts w:asciiTheme="majorHAnsi" w:eastAsia="Calibri" w:hAnsiTheme="majorHAnsi" w:cstheme="majorHAnsi"/>
          <w:bCs/>
        </w:rPr>
        <w:t>espacios públicos pensados para el bien común</w:t>
      </w:r>
      <w:r>
        <w:rPr>
          <w:rFonts w:asciiTheme="majorHAnsi" w:eastAsia="Calibri" w:hAnsiTheme="majorHAnsi" w:cstheme="majorHAnsi"/>
          <w:bCs/>
        </w:rPr>
        <w:t>, y preservar</w:t>
      </w:r>
      <w:r w:rsidRPr="0019658D">
        <w:rPr>
          <w:rFonts w:asciiTheme="majorHAnsi" w:eastAsia="Calibri" w:hAnsiTheme="majorHAnsi" w:cstheme="majorHAnsi"/>
          <w:bCs/>
        </w:rPr>
        <w:t xml:space="preserve"> la singularidad cultural de los pueblos, la riqueza de sus respectivas historias y la conservación del planeta. Es esa riqueza y diversidad de las distintas culturas y territorios la que da lugar a un panorama arquitectónico nacional enormemente fértil y plural que se ve reflejado cada año en los Premios ARQUITECTURA. </w:t>
      </w:r>
    </w:p>
    <w:p w14:paraId="69B040D0" w14:textId="77777777" w:rsidR="00FF7349" w:rsidRDefault="00FF7349" w:rsidP="00FF7349">
      <w:pPr>
        <w:spacing w:before="240" w:line="288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Desde</w:t>
      </w:r>
      <w:r w:rsidRPr="0074211D">
        <w:rPr>
          <w:rFonts w:asciiTheme="majorHAnsi" w:hAnsiTheme="majorHAnsi"/>
        </w:rPr>
        <w:t xml:space="preserve"> 1931, </w:t>
      </w:r>
      <w:r>
        <w:rPr>
          <w:rFonts w:asciiTheme="majorHAnsi" w:hAnsiTheme="majorHAnsi"/>
        </w:rPr>
        <w:t>uno de los principales objetivos del CSCAE ha sido reconocer a aquellas personas, entidades u obras que hayan contribuido de forma significativa a la promoción de la arquitectura desde la reflexión, el buen hacer y la implicación social, ética y cultural. En este sentido, se ha consolidado como</w:t>
      </w:r>
      <w:r w:rsidRPr="00E940CE">
        <w:rPr>
          <w:rFonts w:asciiTheme="majorHAnsi" w:hAnsiTheme="majorHAnsi"/>
        </w:rPr>
        <w:t xml:space="preserve"> motor </w:t>
      </w:r>
      <w:r>
        <w:rPr>
          <w:rFonts w:asciiTheme="majorHAnsi" w:hAnsiTheme="majorHAnsi"/>
        </w:rPr>
        <w:t>de promoción y difusión de la arquitectura española mediante distintas actividades y eventos. Distinciones c</w:t>
      </w:r>
      <w:r w:rsidRPr="00E407AF">
        <w:rPr>
          <w:rFonts w:asciiTheme="majorHAnsi" w:hAnsiTheme="majorHAnsi"/>
        </w:rPr>
        <w:t>omo la Medalla de Oro de la Arq</w:t>
      </w:r>
      <w:r>
        <w:rPr>
          <w:rFonts w:asciiTheme="majorHAnsi" w:hAnsiTheme="majorHAnsi"/>
        </w:rPr>
        <w:t>uitectura, instituida formalmente en el año 1987, evidencian ese compromiso para</w:t>
      </w:r>
      <w:r w:rsidRPr="00E407A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impulsar el interés general por la arquitectura. </w:t>
      </w:r>
    </w:p>
    <w:p w14:paraId="29B36A1E" w14:textId="77777777" w:rsidR="00FF7349" w:rsidRPr="001B7E69" w:rsidRDefault="00FF7349" w:rsidP="00FF7349">
      <w:pPr>
        <w:spacing w:before="240" w:line="288" w:lineRule="auto"/>
        <w:rPr>
          <w:rFonts w:asciiTheme="majorHAnsi" w:hAnsiTheme="majorHAnsi"/>
          <w:b/>
          <w:sz w:val="32"/>
          <w:szCs w:val="24"/>
        </w:rPr>
      </w:pPr>
      <w:r w:rsidRPr="001B7E69">
        <w:rPr>
          <w:rFonts w:asciiTheme="majorHAnsi" w:hAnsiTheme="majorHAnsi"/>
          <w:b/>
          <w:sz w:val="32"/>
          <w:szCs w:val="24"/>
        </w:rPr>
        <w:lastRenderedPageBreak/>
        <w:t>COMPAC®, patrocinador oficial de los premios</w:t>
      </w:r>
    </w:p>
    <w:p w14:paraId="62FAD2B8" w14:textId="77777777" w:rsidR="00FF7349" w:rsidRPr="00407806" w:rsidRDefault="00FF7349" w:rsidP="00FF7349">
      <w:pPr>
        <w:pStyle w:val="pf0"/>
        <w:spacing w:before="240" w:beforeAutospacing="0" w:after="0" w:afterAutospacing="0" w:line="288" w:lineRule="auto"/>
        <w:jc w:val="both"/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Fundada en 1975, COMPAC® es la primera compañía española especializada en la fabricación y distribución de superficies </w:t>
      </w:r>
      <w:r>
        <w:rPr>
          <w:rStyle w:val="cf01"/>
          <w:rFonts w:asciiTheme="majorHAnsi" w:hAnsiTheme="majorHAnsi" w:cstheme="majorHAnsi"/>
          <w:sz w:val="22"/>
          <w:szCs w:val="22"/>
        </w:rPr>
        <w:t xml:space="preserve">decorativas </w:t>
      </w:r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para la arquitectura y el diseño. Desde sus inicios, ha sido una empresa pionera en términos de sostenibilidad e innovación, apostando por la creación de productos de alta calidad y diseño único. Este esfuerzo ha permitido que COMPAC obtenga la certificación EPD para todos sus materiales, el certificado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Cradle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to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Cradle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Bronze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™ otorgado a Obsidiana </w:t>
      </w:r>
      <w:r>
        <w:rPr>
          <w:rStyle w:val="cf01"/>
          <w:rFonts w:asciiTheme="majorHAnsi" w:hAnsiTheme="majorHAnsi" w:cstheme="majorHAnsi"/>
          <w:sz w:val="22"/>
          <w:szCs w:val="22"/>
        </w:rPr>
        <w:t xml:space="preserve">COMPAC® </w:t>
      </w:r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así como el RED DOT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Best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of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the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Best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2022, el IF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Awards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2023 y el German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Design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Awards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2024 con los que ha sido distinguido la colección Ice </w:t>
      </w:r>
      <w:proofErr w:type="spellStart"/>
      <w:r w:rsidRPr="00D67574">
        <w:rPr>
          <w:rStyle w:val="cf01"/>
          <w:rFonts w:asciiTheme="majorHAnsi" w:hAnsiTheme="majorHAnsi" w:cstheme="majorHAnsi"/>
          <w:sz w:val="22"/>
          <w:szCs w:val="22"/>
        </w:rPr>
        <w:t>of</w:t>
      </w:r>
      <w:proofErr w:type="spellEnd"/>
      <w:r w:rsidRPr="00D67574">
        <w:rPr>
          <w:rStyle w:val="cf01"/>
          <w:rFonts w:asciiTheme="majorHAnsi" w:hAnsiTheme="majorHAnsi" w:cstheme="majorHAnsi"/>
          <w:sz w:val="22"/>
          <w:szCs w:val="22"/>
        </w:rPr>
        <w:t xml:space="preserve"> Genesis™.  </w:t>
      </w:r>
    </w:p>
    <w:p w14:paraId="4B72C42B" w14:textId="77777777" w:rsidR="00FF7349" w:rsidRPr="00943277" w:rsidRDefault="00FF7349" w:rsidP="00FF7349">
      <w:pPr>
        <w:pStyle w:val="pf0"/>
        <w:spacing w:before="240" w:beforeAutospacing="0" w:after="0" w:afterAutospacing="0" w:line="288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67574">
        <w:rPr>
          <w:rStyle w:val="cf01"/>
          <w:rFonts w:asciiTheme="majorHAnsi" w:hAnsiTheme="majorHAnsi" w:cstheme="majorHAnsi"/>
          <w:sz w:val="22"/>
          <w:szCs w:val="22"/>
        </w:rPr>
        <w:t>Las colaboraciones con arquitectos, diseñadores y artistas de prestigio son uno de los rasgos distintivos de la compañía, que juega un papel protagonista en la relación entre industria y arquitectura. COMPAC® tiene una fuerte presencia internacional distribuida en más de 60 países alrededor del mundo.</w:t>
      </w:r>
      <w:r w:rsidRPr="001569E4">
        <w:rPr>
          <w:rStyle w:val="cf01"/>
          <w:rFonts w:asciiTheme="majorHAnsi" w:hAnsiTheme="majorHAnsi" w:cstheme="majorHAnsi"/>
          <w:sz w:val="22"/>
          <w:szCs w:val="22"/>
        </w:rPr>
        <w:t>  </w:t>
      </w:r>
    </w:p>
    <w:p w14:paraId="5962AE46" w14:textId="77777777" w:rsidR="005E7A41" w:rsidRDefault="005E7A41">
      <w:pPr>
        <w:rPr>
          <w:rStyle w:val="eop"/>
          <w:rFonts w:ascii="Aptos" w:eastAsia="Times New Roman" w:hAnsi="Aptos" w:cs="Segoe UI"/>
          <w:b/>
          <w:sz w:val="24"/>
          <w:szCs w:val="24"/>
        </w:rPr>
      </w:pPr>
      <w:r>
        <w:rPr>
          <w:rStyle w:val="eop"/>
          <w:rFonts w:ascii="Aptos" w:hAnsi="Aptos" w:cs="Segoe UI"/>
          <w:b/>
        </w:rPr>
        <w:br w:type="page"/>
      </w:r>
    </w:p>
    <w:p w14:paraId="7AA110D4" w14:textId="03727798" w:rsidR="003678A8" w:rsidRPr="003678A8" w:rsidRDefault="001642B8" w:rsidP="001642B8">
      <w:pPr>
        <w:pStyle w:val="paragraph"/>
        <w:spacing w:before="240" w:beforeAutospacing="0" w:after="0" w:afterAutospacing="0" w:line="288" w:lineRule="auto"/>
        <w:textAlignment w:val="baseline"/>
        <w:rPr>
          <w:rFonts w:ascii="Aptos" w:hAnsi="Aptos" w:cs="Segoe UI"/>
          <w:b/>
        </w:rPr>
      </w:pPr>
      <w:r w:rsidRPr="001642B8">
        <w:rPr>
          <w:rStyle w:val="eop"/>
          <w:rFonts w:ascii="Aptos" w:hAnsi="Aptos" w:cs="Segoe UI"/>
          <w:b/>
        </w:rPr>
        <w:lastRenderedPageBreak/>
        <w:t>_</w:t>
      </w:r>
    </w:p>
    <w:p w14:paraId="04E84295" w14:textId="01206D33" w:rsidR="00795313" w:rsidRPr="001642B8" w:rsidRDefault="00545784" w:rsidP="001642B8">
      <w:pPr>
        <w:spacing w:before="240" w:line="288" w:lineRule="auto"/>
        <w:rPr>
          <w:rFonts w:ascii="Calibri" w:eastAsia="Calibri" w:hAnsi="Calibri" w:cs="Calibri"/>
          <w:b/>
          <w:sz w:val="28"/>
        </w:rPr>
      </w:pPr>
      <w:r w:rsidRPr="000B352A">
        <w:rPr>
          <w:rFonts w:ascii="Calibri" w:eastAsia="Calibri" w:hAnsi="Calibri" w:cs="Calibri"/>
          <w:b/>
          <w:sz w:val="28"/>
        </w:rPr>
        <w:t>INFORMACIÓN ADICIONAL</w:t>
      </w:r>
    </w:p>
    <w:p w14:paraId="5843F626" w14:textId="7A614852" w:rsidR="006B0A9A" w:rsidRDefault="00074286" w:rsidP="001642B8">
      <w:pPr>
        <w:spacing w:before="240" w:line="288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Material de prensa:</w:t>
      </w:r>
    </w:p>
    <w:p w14:paraId="0C9D9779" w14:textId="77777777" w:rsidR="00FD063D" w:rsidRPr="00A22774" w:rsidRDefault="009E2866" w:rsidP="00FD063D">
      <w:pPr>
        <w:spacing w:before="240" w:line="288" w:lineRule="auto"/>
        <w:rPr>
          <w:rFonts w:asciiTheme="majorHAnsi" w:hAnsiTheme="majorHAnsi" w:cstheme="majorHAnsi"/>
        </w:rPr>
      </w:pPr>
      <w:hyperlink r:id="rId18" w:history="1">
        <w:r w:rsidR="00FD063D" w:rsidRPr="00A22774">
          <w:rPr>
            <w:rStyle w:val="Hipervnculo"/>
            <w:rFonts w:asciiTheme="majorHAnsi" w:hAnsiTheme="majorHAnsi" w:cstheme="majorHAnsi"/>
          </w:rPr>
          <w:t>https://acortar.link/mIMMU3</w:t>
        </w:r>
      </w:hyperlink>
    </w:p>
    <w:p w14:paraId="08BC3CF2" w14:textId="1CD6FD14" w:rsidR="00151B31" w:rsidRPr="001642B8" w:rsidRDefault="00545784" w:rsidP="001642B8">
      <w:pPr>
        <w:spacing w:before="240" w:line="288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Contacto</w:t>
      </w:r>
      <w:r w:rsidR="00795313"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</w:rPr>
        <w:t xml:space="preserve"> de prensa: </w:t>
      </w:r>
    </w:p>
    <w:p w14:paraId="571716FA" w14:textId="40942EA7" w:rsidR="00151B31" w:rsidRPr="00795313" w:rsidRDefault="00545784" w:rsidP="001642B8">
      <w:pPr>
        <w:spacing w:before="240" w:line="288" w:lineRule="auto"/>
        <w:rPr>
          <w:rFonts w:ascii="Calibri" w:eastAsia="Calibri" w:hAnsi="Calibri" w:cs="Calibri"/>
          <w:color w:val="000000" w:themeColor="text1"/>
        </w:rPr>
      </w:pPr>
      <w:r w:rsidRPr="00795313">
        <w:rPr>
          <w:rFonts w:ascii="Calibri" w:eastAsia="Calibri" w:hAnsi="Calibri" w:cs="Calibri"/>
          <w:color w:val="000000" w:themeColor="text1"/>
        </w:rPr>
        <w:t xml:space="preserve">Sonia </w:t>
      </w:r>
      <w:proofErr w:type="spellStart"/>
      <w:r w:rsidRPr="00795313">
        <w:rPr>
          <w:rFonts w:ascii="Calibri" w:eastAsia="Calibri" w:hAnsi="Calibri" w:cs="Calibri"/>
          <w:color w:val="000000" w:themeColor="text1"/>
        </w:rPr>
        <w:t>Mañé</w:t>
      </w:r>
      <w:proofErr w:type="spellEnd"/>
      <w:r w:rsidR="00795313" w:rsidRPr="00795313">
        <w:rPr>
          <w:rFonts w:ascii="Calibri" w:eastAsia="Calibri" w:hAnsi="Calibri" w:cs="Calibri"/>
          <w:color w:val="000000" w:themeColor="text1"/>
        </w:rPr>
        <w:t xml:space="preserve"> | </w:t>
      </w:r>
      <w:hyperlink r:id="rId19" w:history="1">
        <w:r w:rsidR="00795313" w:rsidRPr="006B0A9A">
          <w:rPr>
            <w:rStyle w:val="Hipervnculo"/>
            <w:rFonts w:ascii="Calibri" w:eastAsia="Calibri" w:hAnsi="Calibri" w:cs="Calibri"/>
            <w:color w:val="0D0D0D" w:themeColor="text1" w:themeTint="F2"/>
          </w:rPr>
          <w:t>sonia.mane@patinunezagency.com</w:t>
        </w:r>
      </w:hyperlink>
      <w:r w:rsidRPr="00795313">
        <w:rPr>
          <w:rFonts w:ascii="Calibri" w:eastAsia="Calibri" w:hAnsi="Calibri" w:cs="Calibri"/>
          <w:color w:val="000000" w:themeColor="text1"/>
        </w:rPr>
        <w:t>| (+34) 627</w:t>
      </w:r>
      <w:r w:rsidR="00C472D6">
        <w:rPr>
          <w:rFonts w:ascii="Calibri" w:eastAsia="Calibri" w:hAnsi="Calibri" w:cs="Calibri"/>
          <w:color w:val="000000" w:themeColor="text1"/>
        </w:rPr>
        <w:t xml:space="preserve"> </w:t>
      </w:r>
      <w:r w:rsidRPr="00795313">
        <w:rPr>
          <w:rFonts w:ascii="Calibri" w:eastAsia="Calibri" w:hAnsi="Calibri" w:cs="Calibri"/>
          <w:color w:val="000000" w:themeColor="text1"/>
        </w:rPr>
        <w:t>992</w:t>
      </w:r>
      <w:r w:rsidR="00C472D6">
        <w:rPr>
          <w:rFonts w:ascii="Calibri" w:eastAsia="Calibri" w:hAnsi="Calibri" w:cs="Calibri"/>
          <w:color w:val="000000" w:themeColor="text1"/>
        </w:rPr>
        <w:t xml:space="preserve"> </w:t>
      </w:r>
      <w:r w:rsidRPr="00795313">
        <w:rPr>
          <w:rFonts w:ascii="Calibri" w:eastAsia="Calibri" w:hAnsi="Calibri" w:cs="Calibri"/>
          <w:color w:val="000000" w:themeColor="text1"/>
        </w:rPr>
        <w:t xml:space="preserve">555 </w:t>
      </w:r>
      <w:r w:rsidR="00795313" w:rsidRPr="00795313">
        <w:rPr>
          <w:rFonts w:ascii="Calibri" w:eastAsia="Calibri" w:hAnsi="Calibri" w:cs="Calibri"/>
          <w:color w:val="000000" w:themeColor="text1"/>
        </w:rPr>
        <w:t>(Pati</w:t>
      </w:r>
      <w:r w:rsidRPr="00795313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00795313">
        <w:rPr>
          <w:rFonts w:ascii="Calibri" w:eastAsia="Calibri" w:hAnsi="Calibri" w:cs="Calibri"/>
          <w:color w:val="000000" w:themeColor="text1"/>
        </w:rPr>
        <w:t>Nuñez</w:t>
      </w:r>
      <w:proofErr w:type="spellEnd"/>
      <w:r w:rsidRPr="00795313">
        <w:rPr>
          <w:rFonts w:ascii="Calibri" w:eastAsia="Calibri" w:hAnsi="Calibri" w:cs="Calibri"/>
          <w:color w:val="000000" w:themeColor="text1"/>
        </w:rPr>
        <w:t xml:space="preserve"> Agency)</w:t>
      </w:r>
    </w:p>
    <w:p w14:paraId="4A35A05E" w14:textId="0FCEA0ED" w:rsidR="00151B31" w:rsidRPr="00795313" w:rsidRDefault="00545784" w:rsidP="001642B8">
      <w:pPr>
        <w:spacing w:before="240" w:line="288" w:lineRule="auto"/>
        <w:rPr>
          <w:rFonts w:ascii="Calibri" w:eastAsia="Calibri" w:hAnsi="Calibri" w:cs="Calibri"/>
          <w:color w:val="000000" w:themeColor="text1"/>
        </w:rPr>
      </w:pPr>
      <w:r w:rsidRPr="00795313">
        <w:rPr>
          <w:rFonts w:ascii="Calibri" w:eastAsia="Calibri" w:hAnsi="Calibri" w:cs="Calibri"/>
          <w:color w:val="000000" w:themeColor="text1"/>
        </w:rPr>
        <w:t>Nuria López | </w:t>
      </w:r>
      <w:hyperlink r:id="rId20">
        <w:r w:rsidRPr="00795313">
          <w:rPr>
            <w:rFonts w:ascii="Calibri" w:eastAsia="Calibri" w:hAnsi="Calibri" w:cs="Calibri"/>
            <w:color w:val="000000" w:themeColor="text1"/>
            <w:u w:val="single"/>
          </w:rPr>
          <w:t>directoracomunicacion@CSCAE.com</w:t>
        </w:r>
      </w:hyperlink>
      <w:r w:rsidRPr="00795313">
        <w:rPr>
          <w:rFonts w:ascii="Calibri" w:eastAsia="Calibri" w:hAnsi="Calibri" w:cs="Calibri"/>
          <w:color w:val="000000" w:themeColor="text1"/>
        </w:rPr>
        <w:t> | (+34) 679 044</w:t>
      </w:r>
      <w:r w:rsidR="00C472D6">
        <w:rPr>
          <w:rFonts w:ascii="Calibri" w:eastAsia="Calibri" w:hAnsi="Calibri" w:cs="Calibri"/>
          <w:color w:val="000000" w:themeColor="text1"/>
        </w:rPr>
        <w:t xml:space="preserve"> </w:t>
      </w:r>
      <w:proofErr w:type="gramStart"/>
      <w:r w:rsidRPr="00795313">
        <w:rPr>
          <w:rFonts w:ascii="Calibri" w:eastAsia="Calibri" w:hAnsi="Calibri" w:cs="Calibri"/>
          <w:color w:val="000000" w:themeColor="text1"/>
        </w:rPr>
        <w:t>006  (</w:t>
      </w:r>
      <w:proofErr w:type="gramEnd"/>
      <w:r w:rsidRPr="00795313">
        <w:rPr>
          <w:rFonts w:ascii="Calibri" w:eastAsia="Calibri" w:hAnsi="Calibri" w:cs="Calibri"/>
          <w:color w:val="000000" w:themeColor="text1"/>
        </w:rPr>
        <w:t>CSCAE)</w:t>
      </w:r>
    </w:p>
    <w:p w14:paraId="06561F0D" w14:textId="294D9B1E" w:rsidR="00151B31" w:rsidRPr="00795313" w:rsidRDefault="00545784" w:rsidP="001642B8">
      <w:pPr>
        <w:spacing w:before="240" w:line="288" w:lineRule="auto"/>
        <w:rPr>
          <w:rFonts w:ascii="Calibri" w:eastAsia="Calibri" w:hAnsi="Calibri" w:cs="Calibri"/>
          <w:color w:val="000000" w:themeColor="text1"/>
        </w:rPr>
      </w:pPr>
      <w:r w:rsidRPr="00795313">
        <w:rPr>
          <w:rFonts w:ascii="Calibri" w:eastAsia="Calibri" w:hAnsi="Calibri" w:cs="Calibri"/>
          <w:color w:val="000000" w:themeColor="text1"/>
        </w:rPr>
        <w:t xml:space="preserve">Lourdes Navarro | </w:t>
      </w:r>
      <w:hyperlink r:id="rId21">
        <w:r w:rsidRPr="00795313">
          <w:rPr>
            <w:rFonts w:ascii="Calibri" w:eastAsia="Calibri" w:hAnsi="Calibri" w:cs="Calibri"/>
            <w:color w:val="000000" w:themeColor="text1"/>
            <w:u w:val="single"/>
          </w:rPr>
          <w:t>lnavarro@compac.es</w:t>
        </w:r>
      </w:hyperlink>
      <w:r w:rsidRPr="00795313">
        <w:rPr>
          <w:rFonts w:ascii="Calibri" w:eastAsia="Calibri" w:hAnsi="Calibri" w:cs="Calibri"/>
          <w:color w:val="000000" w:themeColor="text1"/>
        </w:rPr>
        <w:t xml:space="preserve"> | (+34) 671 048 </w:t>
      </w:r>
      <w:proofErr w:type="gramStart"/>
      <w:r w:rsidRPr="00795313">
        <w:rPr>
          <w:rFonts w:ascii="Calibri" w:eastAsia="Calibri" w:hAnsi="Calibri" w:cs="Calibri"/>
          <w:color w:val="000000" w:themeColor="text1"/>
        </w:rPr>
        <w:t>885  (</w:t>
      </w:r>
      <w:proofErr w:type="gramEnd"/>
      <w:r w:rsidR="00DA3CCD" w:rsidRPr="00DA3CCD">
        <w:rPr>
          <w:rFonts w:ascii="Calibri" w:eastAsia="Calibri" w:hAnsi="Calibri" w:cs="Calibri"/>
          <w:color w:val="000000" w:themeColor="text1"/>
        </w:rPr>
        <w:t>COMPAC®</w:t>
      </w:r>
      <w:r w:rsidRPr="00795313">
        <w:rPr>
          <w:rFonts w:ascii="Calibri" w:eastAsia="Calibri" w:hAnsi="Calibri" w:cs="Calibri"/>
          <w:color w:val="000000" w:themeColor="text1"/>
        </w:rPr>
        <w:t>)</w:t>
      </w:r>
    </w:p>
    <w:p w14:paraId="30F1F497" w14:textId="77777777" w:rsidR="00151B31" w:rsidRDefault="00151B31" w:rsidP="006835BD">
      <w:pPr>
        <w:spacing w:line="276" w:lineRule="auto"/>
        <w:rPr>
          <w:rFonts w:ascii="Calibri" w:eastAsia="Calibri" w:hAnsi="Calibri" w:cs="Calibri"/>
        </w:rPr>
      </w:pPr>
    </w:p>
    <w:p w14:paraId="4D41078B" w14:textId="77777777" w:rsidR="00151B31" w:rsidRDefault="00151B31" w:rsidP="006835BD">
      <w:pPr>
        <w:spacing w:line="276" w:lineRule="auto"/>
      </w:pPr>
    </w:p>
    <w:p w14:paraId="52CB2C4C" w14:textId="7C33ED76" w:rsidR="00151B31" w:rsidRDefault="00F26F78">
      <w:r>
        <w:rPr>
          <w:noProof/>
          <w:lang w:val="es-ES_tradnl"/>
        </w:rPr>
        <w:drawing>
          <wp:inline distT="0" distB="0" distL="0" distR="0" wp14:anchorId="6F29CD76" wp14:editId="3AFF300E">
            <wp:extent cx="5396230" cy="9302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junto logos 2024.ps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1B31" w:rsidSect="00BF066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/>
      <w:pgMar w:top="1981" w:right="1701" w:bottom="1233" w:left="1701" w:header="624" w:footer="3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7048C" w14:textId="77777777" w:rsidR="00BF0668" w:rsidRDefault="00BF0668">
      <w:r>
        <w:separator/>
      </w:r>
    </w:p>
  </w:endnote>
  <w:endnote w:type="continuationSeparator" w:id="0">
    <w:p w14:paraId="60F6C583" w14:textId="77777777" w:rsidR="00BF0668" w:rsidRDefault="00BF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Mangal"/>
    <w:charset w:val="00"/>
    <w:family w:val="auto"/>
    <w:pitch w:val="variable"/>
    <w:sig w:usb0="E00082FF" w:usb1="400078FF" w:usb2="00000021" w:usb3="00000000" w:csb0="0000019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 Black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PT Heavy">
    <w:altName w:val="Century Gothic"/>
    <w:panose1 w:val="00000000000000000000"/>
    <w:charset w:val="4D"/>
    <w:family w:val="swiss"/>
    <w:notTrueType/>
    <w:pitch w:val="variable"/>
    <w:sig w:usb0="A00002FF" w:usb1="5000204A" w:usb2="00000000" w:usb3="00000000" w:csb0="00000097" w:csb1="00000000"/>
  </w:font>
  <w:font w:name="Futura">
    <w:altName w:val="Times New Roman"/>
    <w:charset w:val="B1"/>
    <w:family w:val="swiss"/>
    <w:pitch w:val="variable"/>
    <w:sig w:usb0="80000867" w:usb1="00000000" w:usb2="00000000" w:usb3="00000000" w:csb0="000001FB" w:csb1="00000000"/>
  </w:font>
  <w:font w:name="Founders Grotesk Regular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Condensed">
    <w:charset w:val="B1"/>
    <w:family w:val="swiss"/>
    <w:pitch w:val="variable"/>
    <w:sig w:usb0="80000867" w:usb1="00000000" w:usb2="00000000" w:usb3="00000000" w:csb0="000001F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A5D8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  <w:r>
      <w:rPr>
        <w:color w:val="808080"/>
      </w:rPr>
      <w:t xml:space="preserve">www.patinunezagency.com </w:t>
    </w:r>
  </w:p>
  <w:p w14:paraId="01AA17C7" w14:textId="77777777" w:rsidR="00151B31" w:rsidRDefault="00151B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</w:p>
  <w:p w14:paraId="755EEBA1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  <w:r>
      <w:rPr>
        <w:color w:val="808080"/>
      </w:rPr>
      <w:t>BARCELONA | MADRID | LONDON | NEW YORK | VENICE | BUENOS AIRES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7E50" w14:textId="77777777" w:rsidR="00151B31" w:rsidRDefault="00151B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1EF780CE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  <w:sz w:val="18"/>
        <w:szCs w:val="18"/>
      </w:rPr>
    </w:pPr>
    <w:r>
      <w:rPr>
        <w:noProof/>
        <w:lang w:val="es-ES_tradnl"/>
      </w:rPr>
      <w:drawing>
        <wp:anchor distT="0" distB="0" distL="114300" distR="114300" simplePos="0" relativeHeight="251662336" behindDoc="0" locked="0" layoutInCell="1" hidden="0" allowOverlap="1" wp14:anchorId="7F0AD9E6" wp14:editId="5E5643C4">
          <wp:simplePos x="0" y="0"/>
          <wp:positionH relativeFrom="column">
            <wp:posOffset>3199765</wp:posOffset>
          </wp:positionH>
          <wp:positionV relativeFrom="paragraph">
            <wp:posOffset>808734</wp:posOffset>
          </wp:positionV>
          <wp:extent cx="1629410" cy="426085"/>
          <wp:effectExtent l="0" t="0" r="0" b="0"/>
          <wp:wrapSquare wrapText="bothSides" distT="0" distB="0" distL="114300" distR="114300"/>
          <wp:docPr id="1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9410" cy="426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CFE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  <w:r>
      <w:rPr>
        <w:color w:val="808080"/>
      </w:rPr>
      <w:t xml:space="preserve">www.patinunezagency.com </w:t>
    </w:r>
  </w:p>
  <w:p w14:paraId="1E0AB8D1" w14:textId="77777777" w:rsidR="00151B31" w:rsidRDefault="00151B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</w:p>
  <w:p w14:paraId="1C60FAC7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808080"/>
      </w:rPr>
    </w:pPr>
    <w:r>
      <w:rPr>
        <w:color w:val="808080"/>
      </w:rPr>
      <w:t>BARCELONA | MADRID | LONDON | NEW YORK | VENICE | BUENOS AIRES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0A0EB" w14:textId="77777777" w:rsidR="00BF0668" w:rsidRDefault="00BF0668">
      <w:r>
        <w:separator/>
      </w:r>
    </w:p>
  </w:footnote>
  <w:footnote w:type="continuationSeparator" w:id="0">
    <w:p w14:paraId="40F035D4" w14:textId="77777777" w:rsidR="00BF0668" w:rsidRDefault="00BF0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68D8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_tradnl"/>
      </w:rPr>
      <w:drawing>
        <wp:anchor distT="0" distB="0" distL="114300" distR="114300" simplePos="0" relativeHeight="251661312" behindDoc="0" locked="0" layoutInCell="1" hidden="0" allowOverlap="1" wp14:anchorId="6DC9D618" wp14:editId="7327496E">
          <wp:simplePos x="0" y="0"/>
          <wp:positionH relativeFrom="column">
            <wp:posOffset>4958715</wp:posOffset>
          </wp:positionH>
          <wp:positionV relativeFrom="paragraph">
            <wp:posOffset>-161923</wp:posOffset>
          </wp:positionV>
          <wp:extent cx="1143000" cy="1143000"/>
          <wp:effectExtent l="0" t="0" r="0" b="0"/>
          <wp:wrapSquare wrapText="bothSides" distT="0" distB="0" distL="114300" distR="114300"/>
          <wp:docPr id="15" name="image3.png" descr="Macintosh HD:Users:patinunezagency:Dropbox:DISEÑO:LOGOS:PATI NUÑEZ AGENCY LOGO:LOGO-PATI-NUNEZ-AGENC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acintosh HD:Users:patinunezagency:Dropbox:DISEÑO:LOGOS:PATI NUÑEZ AGENCY LOGO:LOGO-PATI-NUNEZ-AGENC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63971" w14:textId="36A8036B" w:rsidR="00151B31" w:rsidRDefault="00A069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4719"/>
      </w:tabs>
      <w:ind w:right="-1283"/>
      <w:rPr>
        <w:color w:val="000000"/>
      </w:rPr>
    </w:pPr>
    <w:r>
      <w:rPr>
        <w:noProof/>
        <w:lang w:val="es-ES_tradnl"/>
      </w:rPr>
      <w:drawing>
        <wp:anchor distT="0" distB="0" distL="114300" distR="114300" simplePos="0" relativeHeight="251667456" behindDoc="0" locked="0" layoutInCell="1" allowOverlap="1" wp14:anchorId="69F985C9" wp14:editId="513E3767">
          <wp:simplePos x="0" y="0"/>
          <wp:positionH relativeFrom="margin">
            <wp:posOffset>3633076</wp:posOffset>
          </wp:positionH>
          <wp:positionV relativeFrom="paragraph">
            <wp:posOffset>23778</wp:posOffset>
          </wp:positionV>
          <wp:extent cx="1234773" cy="257427"/>
          <wp:effectExtent l="0" t="0" r="0" b="0"/>
          <wp:wrapNone/>
          <wp:docPr id="11591568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773" cy="257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174B" w:rsidRPr="001569E4">
      <w:rPr>
        <w:rFonts w:asciiTheme="minorHAnsi" w:hAnsiTheme="minorHAnsi" w:cstheme="minorHAnsi"/>
        <w:b/>
        <w:bCs/>
        <w:noProof/>
        <w:lang w:val="es-ES_tradnl"/>
      </w:rPr>
      <w:drawing>
        <wp:anchor distT="0" distB="0" distL="114300" distR="114300" simplePos="0" relativeHeight="251666432" behindDoc="0" locked="0" layoutInCell="1" allowOverlap="1" wp14:anchorId="7EFEB1E8" wp14:editId="5535CE21">
          <wp:simplePos x="0" y="0"/>
          <wp:positionH relativeFrom="column">
            <wp:posOffset>5126355</wp:posOffset>
          </wp:positionH>
          <wp:positionV relativeFrom="paragraph">
            <wp:posOffset>-220980</wp:posOffset>
          </wp:positionV>
          <wp:extent cx="1199535" cy="663996"/>
          <wp:effectExtent l="0" t="0" r="0" b="0"/>
          <wp:wrapNone/>
          <wp:docPr id="3" name="Imagen 3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Forma&#10;&#10;Descripción generada automáticamente con confianza medi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07" t="22200" r="10006" b="32204"/>
                  <a:stretch/>
                </pic:blipFill>
                <pic:spPr bwMode="auto">
                  <a:xfrm>
                    <a:off x="0" y="0"/>
                    <a:ext cx="1199535" cy="6639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5784">
      <w:rPr>
        <w:color w:val="000000"/>
      </w:rPr>
      <w:tab/>
    </w:r>
    <w:r w:rsidR="00545784">
      <w:rPr>
        <w:color w:val="000000"/>
      </w:rPr>
      <w:tab/>
    </w:r>
    <w:r w:rsidR="00545784">
      <w:rPr>
        <w:color w:val="000000"/>
      </w:rPr>
      <w:tab/>
    </w:r>
    <w:sdt>
      <w:sdtPr>
        <w:tag w:val="goog_rdk_4"/>
        <w:id w:val="781779802"/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2C3E" w14:textId="77777777" w:rsidR="00151B31" w:rsidRDefault="005457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_tradnl"/>
      </w:rPr>
      <w:drawing>
        <wp:anchor distT="0" distB="0" distL="114300" distR="114300" simplePos="0" relativeHeight="251660288" behindDoc="0" locked="0" layoutInCell="1" hidden="0" allowOverlap="1" wp14:anchorId="2E728FBE" wp14:editId="7C01482F">
          <wp:simplePos x="0" y="0"/>
          <wp:positionH relativeFrom="column">
            <wp:posOffset>4800600</wp:posOffset>
          </wp:positionH>
          <wp:positionV relativeFrom="paragraph">
            <wp:posOffset>-253998</wp:posOffset>
          </wp:positionV>
          <wp:extent cx="1143000" cy="1143000"/>
          <wp:effectExtent l="0" t="0" r="0" b="0"/>
          <wp:wrapSquare wrapText="bothSides" distT="0" distB="0" distL="114300" distR="114300"/>
          <wp:docPr id="18" name="image3.png" descr="Macintosh HD:Users:patinunezagency:Dropbox:DISEÑO:LOGOS:PATI NUÑEZ AGENCY LOGO:LOGO-PATI-NUNEZ-AGENC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acintosh HD:Users:patinunezagency:Dropbox:DISEÑO:LOGOS:PATI NUÑEZ AGENCY LOGO:LOGO-PATI-NUNEZ-AGENC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247FA"/>
    <w:multiLevelType w:val="hybridMultilevel"/>
    <w:tmpl w:val="27EABB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550F2"/>
    <w:multiLevelType w:val="hybridMultilevel"/>
    <w:tmpl w:val="43B84458"/>
    <w:lvl w:ilvl="0" w:tplc="2108BBC4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749AF"/>
    <w:multiLevelType w:val="hybridMultilevel"/>
    <w:tmpl w:val="ABA2F91A"/>
    <w:lvl w:ilvl="0" w:tplc="5038E1BC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70F9F"/>
    <w:multiLevelType w:val="hybridMultilevel"/>
    <w:tmpl w:val="05D8A0C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F734D"/>
    <w:multiLevelType w:val="multilevel"/>
    <w:tmpl w:val="4D807BD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7292F43"/>
    <w:multiLevelType w:val="hybridMultilevel"/>
    <w:tmpl w:val="B2E45E8E"/>
    <w:lvl w:ilvl="0" w:tplc="60C0FBAC">
      <w:numFmt w:val="bullet"/>
      <w:lvlText w:val=""/>
      <w:lvlJc w:val="left"/>
      <w:pPr>
        <w:ind w:left="720" w:hanging="360"/>
      </w:pPr>
      <w:rPr>
        <w:rFonts w:ascii="Symbol" w:eastAsia="Poppins Light" w:hAnsi="Symbol" w:cs="Poppins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20E2F"/>
    <w:multiLevelType w:val="hybridMultilevel"/>
    <w:tmpl w:val="304E83F4"/>
    <w:lvl w:ilvl="0" w:tplc="2108BBC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B132E"/>
    <w:multiLevelType w:val="multilevel"/>
    <w:tmpl w:val="1C7287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AAA6CB2"/>
    <w:multiLevelType w:val="hybridMultilevel"/>
    <w:tmpl w:val="90406F8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D359A8"/>
    <w:multiLevelType w:val="hybridMultilevel"/>
    <w:tmpl w:val="2A98641E"/>
    <w:lvl w:ilvl="0" w:tplc="132CEDBE">
      <w:start w:val="12"/>
      <w:numFmt w:val="bullet"/>
      <w:lvlText w:val=""/>
      <w:lvlJc w:val="left"/>
      <w:pPr>
        <w:ind w:left="360" w:firstLine="0"/>
      </w:pPr>
      <w:rPr>
        <w:rFonts w:ascii="Calibri" w:eastAsia="Calibri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C515C"/>
    <w:multiLevelType w:val="hybridMultilevel"/>
    <w:tmpl w:val="ABF0829E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82369082">
    <w:abstractNumId w:val="7"/>
  </w:num>
  <w:num w:numId="2" w16cid:durableId="1759599511">
    <w:abstractNumId w:val="4"/>
  </w:num>
  <w:num w:numId="3" w16cid:durableId="276765206">
    <w:abstractNumId w:val="3"/>
  </w:num>
  <w:num w:numId="4" w16cid:durableId="366030615">
    <w:abstractNumId w:val="2"/>
  </w:num>
  <w:num w:numId="5" w16cid:durableId="383719097">
    <w:abstractNumId w:val="9"/>
  </w:num>
  <w:num w:numId="6" w16cid:durableId="241834654">
    <w:abstractNumId w:val="10"/>
  </w:num>
  <w:num w:numId="7" w16cid:durableId="1090393952">
    <w:abstractNumId w:val="5"/>
  </w:num>
  <w:num w:numId="8" w16cid:durableId="170608487">
    <w:abstractNumId w:val="1"/>
  </w:num>
  <w:num w:numId="9" w16cid:durableId="194077109">
    <w:abstractNumId w:val="8"/>
  </w:num>
  <w:num w:numId="10" w16cid:durableId="410271026">
    <w:abstractNumId w:val="0"/>
  </w:num>
  <w:num w:numId="11" w16cid:durableId="254288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B31"/>
    <w:rsid w:val="00000338"/>
    <w:rsid w:val="000131B6"/>
    <w:rsid w:val="000420D6"/>
    <w:rsid w:val="0006062B"/>
    <w:rsid w:val="0006626E"/>
    <w:rsid w:val="00074286"/>
    <w:rsid w:val="00074A0B"/>
    <w:rsid w:val="00087055"/>
    <w:rsid w:val="000A4C7C"/>
    <w:rsid w:val="000B0465"/>
    <w:rsid w:val="000B352A"/>
    <w:rsid w:val="000B6F80"/>
    <w:rsid w:val="000C25D4"/>
    <w:rsid w:val="00102752"/>
    <w:rsid w:val="00104DB0"/>
    <w:rsid w:val="00105FE2"/>
    <w:rsid w:val="00151B31"/>
    <w:rsid w:val="001569E4"/>
    <w:rsid w:val="00157127"/>
    <w:rsid w:val="001642B8"/>
    <w:rsid w:val="001955B6"/>
    <w:rsid w:val="00195FC1"/>
    <w:rsid w:val="0019658D"/>
    <w:rsid w:val="001A3542"/>
    <w:rsid w:val="001B5A47"/>
    <w:rsid w:val="001E46A2"/>
    <w:rsid w:val="001F1CD7"/>
    <w:rsid w:val="001F3B6D"/>
    <w:rsid w:val="00220E4D"/>
    <w:rsid w:val="0022253B"/>
    <w:rsid w:val="00226423"/>
    <w:rsid w:val="0025095C"/>
    <w:rsid w:val="00251A77"/>
    <w:rsid w:val="002A66D0"/>
    <w:rsid w:val="002A7E22"/>
    <w:rsid w:val="002B1AE5"/>
    <w:rsid w:val="002B54C7"/>
    <w:rsid w:val="002C37AB"/>
    <w:rsid w:val="002D5659"/>
    <w:rsid w:val="002E01DF"/>
    <w:rsid w:val="00302E8C"/>
    <w:rsid w:val="003230B7"/>
    <w:rsid w:val="00323A8D"/>
    <w:rsid w:val="003357C4"/>
    <w:rsid w:val="003421A6"/>
    <w:rsid w:val="00355DC1"/>
    <w:rsid w:val="00360CDF"/>
    <w:rsid w:val="00364457"/>
    <w:rsid w:val="003678A8"/>
    <w:rsid w:val="00371694"/>
    <w:rsid w:val="003854B0"/>
    <w:rsid w:val="003954F2"/>
    <w:rsid w:val="003A7449"/>
    <w:rsid w:val="003B1BE1"/>
    <w:rsid w:val="003C0BC4"/>
    <w:rsid w:val="003E0BAF"/>
    <w:rsid w:val="003E2EC1"/>
    <w:rsid w:val="003E62B5"/>
    <w:rsid w:val="003E6E58"/>
    <w:rsid w:val="003F649B"/>
    <w:rsid w:val="004072E0"/>
    <w:rsid w:val="00407806"/>
    <w:rsid w:val="00415B61"/>
    <w:rsid w:val="0043037D"/>
    <w:rsid w:val="00432851"/>
    <w:rsid w:val="00444D25"/>
    <w:rsid w:val="0044762C"/>
    <w:rsid w:val="00451AE8"/>
    <w:rsid w:val="004554CC"/>
    <w:rsid w:val="00477A96"/>
    <w:rsid w:val="004B7149"/>
    <w:rsid w:val="004D513B"/>
    <w:rsid w:val="004E12CF"/>
    <w:rsid w:val="004E6803"/>
    <w:rsid w:val="004E70F5"/>
    <w:rsid w:val="005021C2"/>
    <w:rsid w:val="0052541E"/>
    <w:rsid w:val="0054175F"/>
    <w:rsid w:val="00545784"/>
    <w:rsid w:val="00546867"/>
    <w:rsid w:val="00555244"/>
    <w:rsid w:val="0056174B"/>
    <w:rsid w:val="005649C2"/>
    <w:rsid w:val="00572893"/>
    <w:rsid w:val="005C6D92"/>
    <w:rsid w:val="005D014A"/>
    <w:rsid w:val="005E1C18"/>
    <w:rsid w:val="005E368F"/>
    <w:rsid w:val="005E7A41"/>
    <w:rsid w:val="005F0489"/>
    <w:rsid w:val="006009E9"/>
    <w:rsid w:val="006065C3"/>
    <w:rsid w:val="00675C58"/>
    <w:rsid w:val="00681E2F"/>
    <w:rsid w:val="006835BD"/>
    <w:rsid w:val="0068441B"/>
    <w:rsid w:val="006A3C22"/>
    <w:rsid w:val="006B0A9A"/>
    <w:rsid w:val="006C39D0"/>
    <w:rsid w:val="006E1F5C"/>
    <w:rsid w:val="006E5168"/>
    <w:rsid w:val="006F1F46"/>
    <w:rsid w:val="006F7EE9"/>
    <w:rsid w:val="0070131A"/>
    <w:rsid w:val="00701459"/>
    <w:rsid w:val="00703B1E"/>
    <w:rsid w:val="00705C81"/>
    <w:rsid w:val="00715B4C"/>
    <w:rsid w:val="00720518"/>
    <w:rsid w:val="00726ED6"/>
    <w:rsid w:val="00730935"/>
    <w:rsid w:val="0073457C"/>
    <w:rsid w:val="007345D5"/>
    <w:rsid w:val="00773D99"/>
    <w:rsid w:val="00775E5E"/>
    <w:rsid w:val="00795313"/>
    <w:rsid w:val="007A105E"/>
    <w:rsid w:val="007A3B35"/>
    <w:rsid w:val="007C6A1A"/>
    <w:rsid w:val="007D7783"/>
    <w:rsid w:val="007F01CC"/>
    <w:rsid w:val="00805B29"/>
    <w:rsid w:val="008220C0"/>
    <w:rsid w:val="008232B1"/>
    <w:rsid w:val="008266DB"/>
    <w:rsid w:val="00846B80"/>
    <w:rsid w:val="0087753F"/>
    <w:rsid w:val="00887BDB"/>
    <w:rsid w:val="00894EE1"/>
    <w:rsid w:val="008C4E76"/>
    <w:rsid w:val="008D64E7"/>
    <w:rsid w:val="00900524"/>
    <w:rsid w:val="00902C86"/>
    <w:rsid w:val="00907DE0"/>
    <w:rsid w:val="0091364E"/>
    <w:rsid w:val="00927928"/>
    <w:rsid w:val="00943277"/>
    <w:rsid w:val="00955F59"/>
    <w:rsid w:val="00960E7B"/>
    <w:rsid w:val="009A47D1"/>
    <w:rsid w:val="009A6375"/>
    <w:rsid w:val="009C1165"/>
    <w:rsid w:val="009E2866"/>
    <w:rsid w:val="009F2809"/>
    <w:rsid w:val="00A0690E"/>
    <w:rsid w:val="00A123E3"/>
    <w:rsid w:val="00A363FF"/>
    <w:rsid w:val="00A4174B"/>
    <w:rsid w:val="00A94E5D"/>
    <w:rsid w:val="00A96D7F"/>
    <w:rsid w:val="00AA0C8B"/>
    <w:rsid w:val="00AB5730"/>
    <w:rsid w:val="00AC15C7"/>
    <w:rsid w:val="00AC5D17"/>
    <w:rsid w:val="00AE11A9"/>
    <w:rsid w:val="00AE611F"/>
    <w:rsid w:val="00B03267"/>
    <w:rsid w:val="00B0440A"/>
    <w:rsid w:val="00B27016"/>
    <w:rsid w:val="00B41293"/>
    <w:rsid w:val="00B622C7"/>
    <w:rsid w:val="00B73499"/>
    <w:rsid w:val="00B9063E"/>
    <w:rsid w:val="00B9302E"/>
    <w:rsid w:val="00B958F5"/>
    <w:rsid w:val="00BB7ABF"/>
    <w:rsid w:val="00BC578D"/>
    <w:rsid w:val="00BF0537"/>
    <w:rsid w:val="00BF0668"/>
    <w:rsid w:val="00BF2F40"/>
    <w:rsid w:val="00C2241E"/>
    <w:rsid w:val="00C23ECF"/>
    <w:rsid w:val="00C27904"/>
    <w:rsid w:val="00C41341"/>
    <w:rsid w:val="00C45D49"/>
    <w:rsid w:val="00C472D6"/>
    <w:rsid w:val="00C74BBC"/>
    <w:rsid w:val="00C94D7A"/>
    <w:rsid w:val="00CB0971"/>
    <w:rsid w:val="00CC3ECE"/>
    <w:rsid w:val="00CC7376"/>
    <w:rsid w:val="00CD0181"/>
    <w:rsid w:val="00CE04D4"/>
    <w:rsid w:val="00D035F4"/>
    <w:rsid w:val="00D06AD9"/>
    <w:rsid w:val="00D27C39"/>
    <w:rsid w:val="00D352EB"/>
    <w:rsid w:val="00D43FA1"/>
    <w:rsid w:val="00D51C9F"/>
    <w:rsid w:val="00D5478B"/>
    <w:rsid w:val="00D67574"/>
    <w:rsid w:val="00D676AA"/>
    <w:rsid w:val="00D7067B"/>
    <w:rsid w:val="00D71ADA"/>
    <w:rsid w:val="00D84540"/>
    <w:rsid w:val="00D93959"/>
    <w:rsid w:val="00DA3CCD"/>
    <w:rsid w:val="00DB0952"/>
    <w:rsid w:val="00DB243C"/>
    <w:rsid w:val="00DC18B0"/>
    <w:rsid w:val="00DD1AD2"/>
    <w:rsid w:val="00DE7B13"/>
    <w:rsid w:val="00E2057C"/>
    <w:rsid w:val="00E23F98"/>
    <w:rsid w:val="00E32269"/>
    <w:rsid w:val="00E44274"/>
    <w:rsid w:val="00E47FB5"/>
    <w:rsid w:val="00E64251"/>
    <w:rsid w:val="00EC536F"/>
    <w:rsid w:val="00EC71B3"/>
    <w:rsid w:val="00EE191E"/>
    <w:rsid w:val="00EF2E3C"/>
    <w:rsid w:val="00F01D4A"/>
    <w:rsid w:val="00F03CC8"/>
    <w:rsid w:val="00F26F78"/>
    <w:rsid w:val="00F51943"/>
    <w:rsid w:val="00F67110"/>
    <w:rsid w:val="00F71E9C"/>
    <w:rsid w:val="00F9177E"/>
    <w:rsid w:val="00F95802"/>
    <w:rsid w:val="00FB0EC7"/>
    <w:rsid w:val="00FB6F6F"/>
    <w:rsid w:val="00FD0094"/>
    <w:rsid w:val="00FD063D"/>
    <w:rsid w:val="00FE5E3F"/>
    <w:rsid w:val="00FE75A3"/>
    <w:rsid w:val="00FF0D7C"/>
    <w:rsid w:val="00FF1925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263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 Light" w:eastAsia="Poppins Light" w:hAnsi="Poppins Light" w:cs="Poppins Light"/>
        <w:sz w:val="22"/>
        <w:szCs w:val="22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100" w:after="10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 w:line="276" w:lineRule="auto"/>
      <w:outlineLvl w:val="1"/>
    </w:pPr>
    <w:rPr>
      <w:rFonts w:ascii="Calibri" w:eastAsia="Calibri" w:hAnsi="Calibri" w:cs="Calibri"/>
      <w:b/>
      <w:color w:val="000000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100" w:after="200" w:line="276" w:lineRule="auto"/>
      <w:ind w:left="432" w:hanging="432"/>
      <w:jc w:val="both"/>
    </w:pPr>
    <w:rPr>
      <w:rFonts w:ascii="Poppins Black" w:eastAsia="Poppins Black" w:hAnsi="Poppins Black" w:cs="Poppins Black"/>
      <w:color w:val="00000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0" w:after="320" w:line="276" w:lineRule="auto"/>
      <w:jc w:val="both"/>
    </w:pPr>
    <w:rPr>
      <w:rFonts w:ascii="Poppins" w:eastAsia="Poppins" w:hAnsi="Poppins" w:cs="Poppins"/>
      <w:color w:val="000000"/>
    </w:rPr>
  </w:style>
  <w:style w:type="paragraph" w:styleId="Prrafodelista">
    <w:name w:val="List Paragraph"/>
    <w:basedOn w:val="Normal"/>
    <w:uiPriority w:val="34"/>
    <w:qFormat/>
    <w:rsid w:val="0056174B"/>
    <w:pPr>
      <w:suppressAutoHyphens/>
      <w:ind w:left="708"/>
    </w:pPr>
    <w:rPr>
      <w:rFonts w:ascii="Times New Roman" w:eastAsia="Times New Roman" w:hAnsi="Times New Roman" w:cs="Times New Roman"/>
      <w:sz w:val="20"/>
      <w:szCs w:val="20"/>
      <w:lang w:val="es-ES_tradnl" w:eastAsia="zh-CN"/>
    </w:rPr>
  </w:style>
  <w:style w:type="character" w:styleId="Hipervnculo">
    <w:name w:val="Hyperlink"/>
    <w:basedOn w:val="Fuentedeprrafopredeter"/>
    <w:uiPriority w:val="99"/>
    <w:unhideWhenUsed/>
    <w:rsid w:val="00795313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894EE1"/>
  </w:style>
  <w:style w:type="character" w:styleId="Refdecomentario">
    <w:name w:val="annotation reference"/>
    <w:basedOn w:val="Fuentedeprrafopredeter"/>
    <w:uiPriority w:val="99"/>
    <w:semiHidden/>
    <w:unhideWhenUsed/>
    <w:rsid w:val="00E47F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47FB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47F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7F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7FB5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E47FB5"/>
    <w:rPr>
      <w:color w:val="800080" w:themeColor="followedHyperlink"/>
      <w:u w:val="single"/>
    </w:rPr>
  </w:style>
  <w:style w:type="character" w:customStyle="1" w:styleId="cf01">
    <w:name w:val="cf01"/>
    <w:basedOn w:val="Fuentedeprrafopredeter"/>
    <w:rsid w:val="001E46A2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pf0">
    <w:name w:val="pf0"/>
    <w:basedOn w:val="Normal"/>
    <w:rsid w:val="001E46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11">
    <w:name w:val="cf11"/>
    <w:basedOn w:val="Fuentedeprrafopredeter"/>
    <w:rsid w:val="001E46A2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69E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9E4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C472D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xapple-converted-space">
    <w:name w:val="xapple-converted-space"/>
    <w:basedOn w:val="Fuentedeprrafopredeter"/>
    <w:rsid w:val="00DB0952"/>
  </w:style>
  <w:style w:type="paragraph" w:customStyle="1" w:styleId="TITULARPORTADA">
    <w:name w:val="TITULAR PORTADA"/>
    <w:basedOn w:val="Normal"/>
    <w:qFormat/>
    <w:rsid w:val="00DB0952"/>
    <w:rPr>
      <w:rFonts w:ascii="Futura PT Heavy" w:eastAsiaTheme="minorEastAsia" w:hAnsi="Futura PT Heavy" w:cs="Futura"/>
      <w:b/>
      <w:sz w:val="44"/>
      <w:szCs w:val="44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3B1BE1"/>
    <w:pPr>
      <w:widowControl w:val="0"/>
      <w:autoSpaceDE w:val="0"/>
      <w:autoSpaceDN w:val="0"/>
    </w:pPr>
    <w:rPr>
      <w:rFonts w:ascii="Founders Grotesk Regular" w:eastAsia="Founders Grotesk Regular" w:hAnsi="Founders Grotesk Regular" w:cs="Founders Grotesk Regular"/>
      <w:sz w:val="20"/>
      <w:szCs w:val="20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B1BE1"/>
    <w:rPr>
      <w:rFonts w:ascii="Founders Grotesk Regular" w:eastAsia="Founders Grotesk Regular" w:hAnsi="Founders Grotesk Regular" w:cs="Founders Grotesk Regular"/>
      <w:sz w:val="20"/>
      <w:szCs w:val="20"/>
      <w:lang w:eastAsia="en-US"/>
    </w:rPr>
  </w:style>
  <w:style w:type="character" w:customStyle="1" w:styleId="Mencinsinresolver1">
    <w:name w:val="Mención sin resolver1"/>
    <w:basedOn w:val="Fuentedeprrafopredeter"/>
    <w:uiPriority w:val="99"/>
    <w:rsid w:val="00DA3CC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5D01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5552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555244"/>
  </w:style>
  <w:style w:type="character" w:customStyle="1" w:styleId="eop">
    <w:name w:val="eop"/>
    <w:basedOn w:val="Fuentedeprrafopredeter"/>
    <w:rsid w:val="00555244"/>
  </w:style>
  <w:style w:type="character" w:customStyle="1" w:styleId="Mencinsinresolver2">
    <w:name w:val="Mención sin resolver2"/>
    <w:basedOn w:val="Fuentedeprrafopredeter"/>
    <w:uiPriority w:val="99"/>
    <w:rsid w:val="001642B8"/>
    <w:rPr>
      <w:color w:val="808080"/>
      <w:shd w:val="clear" w:color="auto" w:fill="E6E6E6"/>
    </w:rPr>
  </w:style>
  <w:style w:type="character" w:styleId="Mencinsinresolver">
    <w:name w:val="Unresolved Mention"/>
    <w:basedOn w:val="Fuentedeprrafopredeter"/>
    <w:uiPriority w:val="99"/>
    <w:rsid w:val="005649C2"/>
    <w:rPr>
      <w:color w:val="605E5C"/>
      <w:shd w:val="clear" w:color="auto" w:fill="E1DFDD"/>
    </w:rPr>
  </w:style>
  <w:style w:type="table" w:styleId="Tabladelista3-nfasis1">
    <w:name w:val="List Table 3 Accent 1"/>
    <w:basedOn w:val="Tablanormal"/>
    <w:uiPriority w:val="48"/>
    <w:rsid w:val="003678A8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acortar.link/mIMMU3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mailto:lnavarro@compac.e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www.cscae.com/eventos_cscae/pa_cscae_2023/seleccionados.aspx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cscae.com/eventos_cscae/pa_cscae_2023/seleccionados.aspx" TargetMode="External"/><Relationship Id="rId20" Type="http://schemas.openxmlformats.org/officeDocument/2006/relationships/hyperlink" Target="mailto:directoracomunicacion@CSCAE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yperlink" Target="mailto:sonia.mane@patinunezagenc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scae.com/eventos_cscae/pa_cscae_2023/seleccionados.aspx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8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RIhlq8HZUCwYBvOIDRuoXxqytQ==">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1506</Words>
  <Characters>8283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Récord de participación en la tercera edición de los Premios ARQUITECTURA con 49</vt:lpstr>
      <vt:lpstr>Con un 15% más de participación que el año pasado, los premios se consolidan com</vt:lpstr>
      <vt:lpstr>El significativo aumento de propuestas refleja la capacidad integradora e inclus</vt:lpstr>
      <vt:lpstr>Sobresale la participación en las categorías de edificación (243), interiorismo </vt:lpstr>
      <vt:lpstr>Las propuestas SELECCIONADAS por los Colegios de Arquitectos se anunciarán el 11</vt:lpstr>
      <vt:lpstr>Organizados por el Consejo Superior de los Colegios de Arquitectos de España (CS</vt:lpstr>
      <vt:lpstr>Madrid, 12 de marzo de 2024. </vt:lpstr>
      <vt:lpstr>Siguientes fases de finalistas y premiados</vt:lpstr>
      <vt:lpstr>Una vez cerrado el plazo de recepción de propuestas, los Colegios Oficiales de A</vt:lpstr>
      <vt:lpstr>Cuatro décadas reconociendo la calidad arquitectónica</vt:lpstr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del Pilar Soto Sánchez</dc:creator>
  <cp:lastModifiedBy>María del Pilar Soto Sánchez</cp:lastModifiedBy>
  <cp:revision>2</cp:revision>
  <dcterms:created xsi:type="dcterms:W3CDTF">2024-04-11T11:24:00Z</dcterms:created>
  <dcterms:modified xsi:type="dcterms:W3CDTF">2024-04-11T11:24:00Z</dcterms:modified>
</cp:coreProperties>
</file>